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0" w:type="auto"/>
        <w:tblInd w:w="1634" w:type="dxa"/>
        <w:tblLayout w:type="fixed"/>
        <w:tblLook w:val="01E0" w:firstRow="1" w:lastRow="1" w:firstColumn="1" w:lastColumn="1" w:noHBand="0" w:noVBand="0"/>
      </w:tblPr>
      <w:tblGrid>
        <w:gridCol w:w="5525"/>
      </w:tblGrid>
      <w:tr w:rsidR="006A3AA8" w14:paraId="559CA10F" w14:textId="77777777">
        <w:trPr>
          <w:trHeight w:val="1690"/>
        </w:trPr>
        <w:tc>
          <w:tcPr>
            <w:tcW w:w="5525" w:type="dxa"/>
          </w:tcPr>
          <w:p w14:paraId="5763F671" w14:textId="77777777" w:rsidR="006A3AA8" w:rsidRDefault="006A3AA8">
            <w:pPr>
              <w:pStyle w:val="TableParagraph"/>
              <w:spacing w:before="211" w:after="1"/>
              <w:ind w:left="0"/>
              <w:rPr>
                <w:rFonts w:ascii="Times New Roman"/>
                <w:sz w:val="20"/>
              </w:rPr>
            </w:pPr>
          </w:p>
          <w:p w14:paraId="30F22C5C" w14:textId="77777777" w:rsidR="006A3AA8" w:rsidRDefault="00130D39">
            <w:pPr>
              <w:pStyle w:val="TableParagraph"/>
              <w:ind w:left="630"/>
              <w:rPr>
                <w:rFonts w:ascii="Times New Roman"/>
                <w:sz w:val="20"/>
              </w:rPr>
            </w:pPr>
            <w:r>
              <w:rPr>
                <w:rFonts w:ascii="Times New Roman"/>
                <w:noProof/>
                <w:sz w:val="20"/>
              </w:rPr>
              <w:drawing>
                <wp:inline distT="0" distB="0" distL="0" distR="0" wp14:anchorId="13FCAFD9" wp14:editId="5FF2C4CA">
                  <wp:extent cx="2226004" cy="46958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226004" cy="469582"/>
                          </a:xfrm>
                          <a:prstGeom prst="rect">
                            <a:avLst/>
                          </a:prstGeom>
                        </pic:spPr>
                      </pic:pic>
                    </a:graphicData>
                  </a:graphic>
                </wp:inline>
              </w:drawing>
            </w:r>
          </w:p>
        </w:tc>
      </w:tr>
      <w:tr w:rsidR="006A3AA8" w:rsidRPr="004C015B" w14:paraId="7A3D5A1F" w14:textId="77777777">
        <w:trPr>
          <w:trHeight w:val="929"/>
        </w:trPr>
        <w:tc>
          <w:tcPr>
            <w:tcW w:w="5525" w:type="dxa"/>
          </w:tcPr>
          <w:p w14:paraId="74DB9BE8" w14:textId="77777777" w:rsidR="006A3AA8" w:rsidRPr="004C015B" w:rsidRDefault="00130D39">
            <w:pPr>
              <w:pStyle w:val="TableParagraph"/>
              <w:spacing w:before="64"/>
              <w:ind w:left="117"/>
              <w:rPr>
                <w:rFonts w:ascii="Open Sans" w:hAnsi="Open Sans" w:cs="Open Sans"/>
                <w:b/>
              </w:rPr>
            </w:pPr>
            <w:r w:rsidRPr="004C015B">
              <w:rPr>
                <w:rFonts w:ascii="Open Sans" w:hAnsi="Open Sans" w:cs="Open Sans"/>
                <w:b/>
              </w:rPr>
              <w:t>Energetika</w:t>
            </w:r>
            <w:r w:rsidRPr="004C015B">
              <w:rPr>
                <w:rFonts w:ascii="Open Sans" w:hAnsi="Open Sans" w:cs="Open Sans"/>
                <w:b/>
                <w:spacing w:val="-6"/>
              </w:rPr>
              <w:t xml:space="preserve"> </w:t>
            </w:r>
            <w:r w:rsidRPr="004C015B">
              <w:rPr>
                <w:rFonts w:ascii="Open Sans" w:hAnsi="Open Sans" w:cs="Open Sans"/>
                <w:b/>
              </w:rPr>
              <w:t>Ljubljana,</w:t>
            </w:r>
            <w:r w:rsidRPr="004C015B">
              <w:rPr>
                <w:rFonts w:ascii="Open Sans" w:hAnsi="Open Sans" w:cs="Open Sans"/>
                <w:b/>
                <w:spacing w:val="-3"/>
              </w:rPr>
              <w:t xml:space="preserve"> </w:t>
            </w:r>
            <w:r w:rsidRPr="004C015B">
              <w:rPr>
                <w:rFonts w:ascii="Open Sans" w:hAnsi="Open Sans" w:cs="Open Sans"/>
                <w:b/>
                <w:spacing w:val="-2"/>
              </w:rPr>
              <w:t>d.o.o.</w:t>
            </w:r>
          </w:p>
          <w:p w14:paraId="27F8FCDB" w14:textId="77777777" w:rsidR="006A3AA8" w:rsidRPr="004C015B" w:rsidRDefault="00130D39">
            <w:pPr>
              <w:pStyle w:val="TableParagraph"/>
              <w:spacing w:before="40"/>
              <w:ind w:left="117"/>
              <w:rPr>
                <w:rFonts w:ascii="Open Sans" w:hAnsi="Open Sans" w:cs="Open Sans"/>
              </w:rPr>
            </w:pPr>
            <w:r w:rsidRPr="004C015B">
              <w:rPr>
                <w:rFonts w:ascii="Open Sans" w:hAnsi="Open Sans" w:cs="Open Sans"/>
              </w:rPr>
              <w:t>Verovškova</w:t>
            </w:r>
            <w:r w:rsidRPr="004C015B">
              <w:rPr>
                <w:rFonts w:ascii="Open Sans" w:hAnsi="Open Sans" w:cs="Open Sans"/>
                <w:spacing w:val="-5"/>
              </w:rPr>
              <w:t xml:space="preserve"> </w:t>
            </w:r>
            <w:r w:rsidRPr="004C015B">
              <w:rPr>
                <w:rFonts w:ascii="Open Sans" w:hAnsi="Open Sans" w:cs="Open Sans"/>
              </w:rPr>
              <w:t>ulica</w:t>
            </w:r>
            <w:r w:rsidRPr="004C015B">
              <w:rPr>
                <w:rFonts w:ascii="Open Sans" w:hAnsi="Open Sans" w:cs="Open Sans"/>
                <w:spacing w:val="-4"/>
              </w:rPr>
              <w:t xml:space="preserve"> </w:t>
            </w:r>
            <w:r w:rsidRPr="004C015B">
              <w:rPr>
                <w:rFonts w:ascii="Open Sans" w:hAnsi="Open Sans" w:cs="Open Sans"/>
              </w:rPr>
              <w:t>62,</w:t>
            </w:r>
            <w:r w:rsidRPr="004C015B">
              <w:rPr>
                <w:rFonts w:ascii="Open Sans" w:hAnsi="Open Sans" w:cs="Open Sans"/>
                <w:spacing w:val="-5"/>
              </w:rPr>
              <w:t xml:space="preserve"> </w:t>
            </w:r>
            <w:proofErr w:type="spellStart"/>
            <w:r w:rsidRPr="004C015B">
              <w:rPr>
                <w:rFonts w:ascii="Open Sans" w:hAnsi="Open Sans" w:cs="Open Sans"/>
              </w:rPr>
              <w:t>p.p</w:t>
            </w:r>
            <w:proofErr w:type="spellEnd"/>
            <w:r w:rsidRPr="004C015B">
              <w:rPr>
                <w:rFonts w:ascii="Open Sans" w:hAnsi="Open Sans" w:cs="Open Sans"/>
              </w:rPr>
              <w:t>.</w:t>
            </w:r>
            <w:r w:rsidRPr="004C015B">
              <w:rPr>
                <w:rFonts w:ascii="Open Sans" w:hAnsi="Open Sans" w:cs="Open Sans"/>
                <w:spacing w:val="-2"/>
              </w:rPr>
              <w:t xml:space="preserve"> </w:t>
            </w:r>
            <w:r w:rsidRPr="004C015B">
              <w:rPr>
                <w:rFonts w:ascii="Open Sans" w:hAnsi="Open Sans" w:cs="Open Sans"/>
              </w:rPr>
              <w:t>2374,</w:t>
            </w:r>
            <w:r w:rsidRPr="004C015B">
              <w:rPr>
                <w:rFonts w:ascii="Open Sans" w:hAnsi="Open Sans" w:cs="Open Sans"/>
                <w:spacing w:val="-2"/>
              </w:rPr>
              <w:t xml:space="preserve"> </w:t>
            </w:r>
            <w:r w:rsidRPr="004C015B">
              <w:rPr>
                <w:rFonts w:ascii="Open Sans" w:hAnsi="Open Sans" w:cs="Open Sans"/>
              </w:rPr>
              <w:t>SI-1000</w:t>
            </w:r>
            <w:r w:rsidRPr="004C015B">
              <w:rPr>
                <w:rFonts w:ascii="Open Sans" w:hAnsi="Open Sans" w:cs="Open Sans"/>
                <w:spacing w:val="-6"/>
              </w:rPr>
              <w:t xml:space="preserve"> </w:t>
            </w:r>
            <w:r w:rsidRPr="004C015B">
              <w:rPr>
                <w:rFonts w:ascii="Open Sans" w:hAnsi="Open Sans" w:cs="Open Sans"/>
                <w:spacing w:val="-2"/>
              </w:rPr>
              <w:t>Ljubljana</w:t>
            </w:r>
          </w:p>
          <w:p w14:paraId="160934DA" w14:textId="77777777" w:rsidR="006A3AA8" w:rsidRPr="004C015B" w:rsidRDefault="00130D39">
            <w:pPr>
              <w:pStyle w:val="TableParagraph"/>
              <w:spacing w:before="35"/>
              <w:ind w:left="117"/>
              <w:rPr>
                <w:rFonts w:ascii="Open Sans" w:hAnsi="Open Sans" w:cs="Open Sans"/>
              </w:rPr>
            </w:pPr>
            <w:r w:rsidRPr="004C015B">
              <w:rPr>
                <w:rFonts w:ascii="Open Sans" w:hAnsi="Open Sans" w:cs="Open Sans"/>
                <w:b/>
              </w:rPr>
              <w:t>enota</w:t>
            </w:r>
            <w:r w:rsidRPr="004C015B">
              <w:rPr>
                <w:rFonts w:ascii="Open Sans" w:hAnsi="Open Sans" w:cs="Open Sans"/>
                <w:b/>
                <w:spacing w:val="-4"/>
              </w:rPr>
              <w:t xml:space="preserve"> </w:t>
            </w:r>
            <w:r w:rsidRPr="004C015B">
              <w:rPr>
                <w:rFonts w:ascii="Open Sans" w:hAnsi="Open Sans" w:cs="Open Sans"/>
                <w:b/>
              </w:rPr>
              <w:t>TE-TOL</w:t>
            </w:r>
            <w:r w:rsidRPr="004C015B">
              <w:rPr>
                <w:rFonts w:ascii="Open Sans" w:hAnsi="Open Sans" w:cs="Open Sans"/>
              </w:rPr>
              <w:t>,</w:t>
            </w:r>
            <w:r w:rsidRPr="004C015B">
              <w:rPr>
                <w:rFonts w:ascii="Open Sans" w:hAnsi="Open Sans" w:cs="Open Sans"/>
                <w:spacing w:val="-5"/>
              </w:rPr>
              <w:t xml:space="preserve"> </w:t>
            </w:r>
            <w:r w:rsidRPr="004C015B">
              <w:rPr>
                <w:rFonts w:ascii="Open Sans" w:hAnsi="Open Sans" w:cs="Open Sans"/>
              </w:rPr>
              <w:t>Toplarniška</w:t>
            </w:r>
            <w:r w:rsidRPr="004C015B">
              <w:rPr>
                <w:rFonts w:ascii="Open Sans" w:hAnsi="Open Sans" w:cs="Open Sans"/>
                <w:spacing w:val="-6"/>
              </w:rPr>
              <w:t xml:space="preserve"> </w:t>
            </w:r>
            <w:r w:rsidRPr="004C015B">
              <w:rPr>
                <w:rFonts w:ascii="Open Sans" w:hAnsi="Open Sans" w:cs="Open Sans"/>
              </w:rPr>
              <w:t>ulica</w:t>
            </w:r>
            <w:r w:rsidRPr="004C015B">
              <w:rPr>
                <w:rFonts w:ascii="Open Sans" w:hAnsi="Open Sans" w:cs="Open Sans"/>
                <w:spacing w:val="-5"/>
              </w:rPr>
              <w:t xml:space="preserve"> </w:t>
            </w:r>
            <w:r w:rsidRPr="004C015B">
              <w:rPr>
                <w:rFonts w:ascii="Open Sans" w:hAnsi="Open Sans" w:cs="Open Sans"/>
              </w:rPr>
              <w:t>19,</w:t>
            </w:r>
            <w:r w:rsidRPr="004C015B">
              <w:rPr>
                <w:rFonts w:ascii="Open Sans" w:hAnsi="Open Sans" w:cs="Open Sans"/>
                <w:spacing w:val="-5"/>
              </w:rPr>
              <w:t xml:space="preserve"> </w:t>
            </w:r>
            <w:r w:rsidRPr="004C015B">
              <w:rPr>
                <w:rFonts w:ascii="Open Sans" w:hAnsi="Open Sans" w:cs="Open Sans"/>
              </w:rPr>
              <w:t>SI-1000</w:t>
            </w:r>
            <w:r w:rsidRPr="004C015B">
              <w:rPr>
                <w:rFonts w:ascii="Open Sans" w:hAnsi="Open Sans" w:cs="Open Sans"/>
                <w:spacing w:val="-4"/>
              </w:rPr>
              <w:t xml:space="preserve"> </w:t>
            </w:r>
            <w:r w:rsidRPr="004C015B">
              <w:rPr>
                <w:rFonts w:ascii="Open Sans" w:hAnsi="Open Sans" w:cs="Open Sans"/>
                <w:spacing w:val="-2"/>
              </w:rPr>
              <w:t>Ljubljana</w:t>
            </w:r>
          </w:p>
        </w:tc>
      </w:tr>
      <w:tr w:rsidR="006A3AA8" w:rsidRPr="004C015B" w14:paraId="789259C5" w14:textId="77777777">
        <w:trPr>
          <w:trHeight w:val="278"/>
        </w:trPr>
        <w:tc>
          <w:tcPr>
            <w:tcW w:w="5525" w:type="dxa"/>
          </w:tcPr>
          <w:p w14:paraId="1EB749AE" w14:textId="77777777" w:rsidR="006A3AA8" w:rsidRPr="004C015B" w:rsidRDefault="00FD2A21">
            <w:pPr>
              <w:pStyle w:val="TableParagraph"/>
              <w:spacing w:before="25" w:line="233" w:lineRule="exact"/>
              <w:ind w:left="117"/>
              <w:rPr>
                <w:rFonts w:ascii="Open Sans" w:hAnsi="Open Sans" w:cs="Open Sans"/>
              </w:rPr>
            </w:pPr>
            <w:hyperlink r:id="rId8">
              <w:r w:rsidR="00130D39" w:rsidRPr="004C015B">
                <w:rPr>
                  <w:rFonts w:ascii="Open Sans" w:hAnsi="Open Sans" w:cs="Open Sans"/>
                  <w:color w:val="0000FF"/>
                  <w:spacing w:val="-2"/>
                  <w:u w:val="single" w:color="0000FF"/>
                </w:rPr>
                <w:t>www.energetika.si</w:t>
              </w:r>
            </w:hyperlink>
          </w:p>
        </w:tc>
      </w:tr>
    </w:tbl>
    <w:p w14:paraId="218AD84C" w14:textId="77777777" w:rsidR="006A3AA8" w:rsidRPr="004C015B" w:rsidRDefault="006A3AA8">
      <w:pPr>
        <w:pStyle w:val="Telobesedila"/>
        <w:rPr>
          <w:rFonts w:ascii="Open Sans" w:hAnsi="Open Sans" w:cs="Open Sans"/>
          <w:sz w:val="44"/>
        </w:rPr>
      </w:pPr>
    </w:p>
    <w:p w14:paraId="6698ADA7" w14:textId="77777777" w:rsidR="006A3AA8" w:rsidRPr="004C015B" w:rsidRDefault="006A3AA8">
      <w:pPr>
        <w:pStyle w:val="Telobesedila"/>
        <w:rPr>
          <w:rFonts w:ascii="Open Sans" w:hAnsi="Open Sans" w:cs="Open Sans"/>
          <w:sz w:val="44"/>
        </w:rPr>
      </w:pPr>
    </w:p>
    <w:p w14:paraId="0A4ADBE7" w14:textId="77777777" w:rsidR="006A3AA8" w:rsidRPr="004C015B" w:rsidRDefault="006A3AA8">
      <w:pPr>
        <w:pStyle w:val="Telobesedila"/>
        <w:rPr>
          <w:rFonts w:ascii="Open Sans" w:hAnsi="Open Sans" w:cs="Open Sans"/>
          <w:sz w:val="44"/>
        </w:rPr>
      </w:pPr>
    </w:p>
    <w:p w14:paraId="74E2E689" w14:textId="77777777" w:rsidR="006A3AA8" w:rsidRPr="004C015B" w:rsidRDefault="006A3AA8">
      <w:pPr>
        <w:pStyle w:val="Telobesedila"/>
        <w:spacing w:before="365"/>
        <w:rPr>
          <w:rFonts w:ascii="Open Sans" w:hAnsi="Open Sans" w:cs="Open Sans"/>
          <w:sz w:val="44"/>
        </w:rPr>
      </w:pPr>
    </w:p>
    <w:p w14:paraId="3FB309C2" w14:textId="77777777" w:rsidR="006A3AA8" w:rsidRPr="004C015B" w:rsidRDefault="00130D39">
      <w:pPr>
        <w:pStyle w:val="Naslov1"/>
        <w:rPr>
          <w:rFonts w:ascii="Open Sans" w:hAnsi="Open Sans" w:cs="Open Sans"/>
        </w:rPr>
      </w:pPr>
      <w:r w:rsidRPr="004C015B">
        <w:rPr>
          <w:rFonts w:ascii="Open Sans" w:hAnsi="Open Sans" w:cs="Open Sans"/>
        </w:rPr>
        <w:t>INFORMACIJA ZA JAVNOST O VARNOSTNIH</w:t>
      </w:r>
      <w:r w:rsidRPr="004C015B">
        <w:rPr>
          <w:rFonts w:ascii="Open Sans" w:hAnsi="Open Sans" w:cs="Open Sans"/>
          <w:spacing w:val="-11"/>
        </w:rPr>
        <w:t xml:space="preserve"> </w:t>
      </w:r>
      <w:r w:rsidRPr="004C015B">
        <w:rPr>
          <w:rFonts w:ascii="Open Sans" w:hAnsi="Open Sans" w:cs="Open Sans"/>
        </w:rPr>
        <w:t>UKREPIH</w:t>
      </w:r>
      <w:r w:rsidRPr="004C015B">
        <w:rPr>
          <w:rFonts w:ascii="Open Sans" w:hAnsi="Open Sans" w:cs="Open Sans"/>
          <w:spacing w:val="-11"/>
        </w:rPr>
        <w:t xml:space="preserve"> </w:t>
      </w:r>
      <w:r w:rsidRPr="004C015B">
        <w:rPr>
          <w:rFonts w:ascii="Open Sans" w:hAnsi="Open Sans" w:cs="Open Sans"/>
        </w:rPr>
        <w:t>IN</w:t>
      </w:r>
      <w:r w:rsidRPr="004C015B">
        <w:rPr>
          <w:rFonts w:ascii="Open Sans" w:hAnsi="Open Sans" w:cs="Open Sans"/>
          <w:spacing w:val="-11"/>
        </w:rPr>
        <w:t xml:space="preserve"> </w:t>
      </w:r>
      <w:r w:rsidRPr="004C015B">
        <w:rPr>
          <w:rFonts w:ascii="Open Sans" w:hAnsi="Open Sans" w:cs="Open Sans"/>
        </w:rPr>
        <w:t>O</w:t>
      </w:r>
      <w:r w:rsidRPr="004C015B">
        <w:rPr>
          <w:rFonts w:ascii="Open Sans" w:hAnsi="Open Sans" w:cs="Open Sans"/>
          <w:spacing w:val="-9"/>
        </w:rPr>
        <w:t xml:space="preserve"> </w:t>
      </w:r>
      <w:r w:rsidRPr="004C015B">
        <w:rPr>
          <w:rFonts w:ascii="Open Sans" w:hAnsi="Open Sans" w:cs="Open Sans"/>
        </w:rPr>
        <w:t>RAVNANJU V PRIMERU VEČJE NESREČE</w:t>
      </w:r>
    </w:p>
    <w:p w14:paraId="5E512462" w14:textId="77777777" w:rsidR="006A3AA8" w:rsidRPr="004C015B" w:rsidRDefault="006A3AA8">
      <w:pPr>
        <w:pStyle w:val="Telobesedila"/>
        <w:rPr>
          <w:rFonts w:ascii="Open Sans" w:hAnsi="Open Sans" w:cs="Open Sans"/>
          <w:b/>
          <w:sz w:val="44"/>
        </w:rPr>
      </w:pPr>
    </w:p>
    <w:p w14:paraId="69EDB75D" w14:textId="77777777" w:rsidR="006A3AA8" w:rsidRPr="004C015B" w:rsidRDefault="006A3AA8">
      <w:pPr>
        <w:pStyle w:val="Telobesedila"/>
        <w:rPr>
          <w:rFonts w:ascii="Open Sans" w:hAnsi="Open Sans" w:cs="Open Sans"/>
          <w:b/>
          <w:sz w:val="44"/>
        </w:rPr>
      </w:pPr>
    </w:p>
    <w:p w14:paraId="5FA05CF9" w14:textId="77777777" w:rsidR="006A3AA8" w:rsidRPr="004C015B" w:rsidRDefault="006A3AA8">
      <w:pPr>
        <w:pStyle w:val="Telobesedila"/>
        <w:rPr>
          <w:rFonts w:ascii="Open Sans" w:hAnsi="Open Sans" w:cs="Open Sans"/>
          <w:b/>
          <w:sz w:val="44"/>
        </w:rPr>
      </w:pPr>
    </w:p>
    <w:p w14:paraId="261BB5C5" w14:textId="77777777" w:rsidR="006A3AA8" w:rsidRPr="004C015B" w:rsidRDefault="006A3AA8">
      <w:pPr>
        <w:pStyle w:val="Telobesedila"/>
        <w:rPr>
          <w:rFonts w:ascii="Open Sans" w:hAnsi="Open Sans" w:cs="Open Sans"/>
          <w:b/>
          <w:sz w:val="44"/>
        </w:rPr>
      </w:pPr>
    </w:p>
    <w:p w14:paraId="29AD64A0" w14:textId="77777777" w:rsidR="006A3AA8" w:rsidRDefault="006A3AA8">
      <w:pPr>
        <w:pStyle w:val="Telobesedila"/>
        <w:rPr>
          <w:rFonts w:ascii="Open Sans" w:hAnsi="Open Sans" w:cs="Open Sans"/>
          <w:b/>
          <w:sz w:val="44"/>
        </w:rPr>
      </w:pPr>
    </w:p>
    <w:p w14:paraId="7FE23878" w14:textId="77777777" w:rsidR="004C015B" w:rsidRDefault="004C015B">
      <w:pPr>
        <w:pStyle w:val="Telobesedila"/>
        <w:rPr>
          <w:rFonts w:ascii="Open Sans" w:hAnsi="Open Sans" w:cs="Open Sans"/>
          <w:b/>
          <w:sz w:val="44"/>
        </w:rPr>
      </w:pPr>
    </w:p>
    <w:p w14:paraId="418AD788" w14:textId="77777777" w:rsidR="004C015B" w:rsidRPr="004C015B" w:rsidRDefault="004C015B">
      <w:pPr>
        <w:pStyle w:val="Telobesedila"/>
        <w:rPr>
          <w:rFonts w:ascii="Open Sans" w:hAnsi="Open Sans" w:cs="Open Sans"/>
          <w:b/>
          <w:sz w:val="44"/>
        </w:rPr>
      </w:pPr>
    </w:p>
    <w:p w14:paraId="7BFA203E" w14:textId="77777777" w:rsidR="006A3AA8" w:rsidRPr="004C015B" w:rsidRDefault="006A3AA8">
      <w:pPr>
        <w:pStyle w:val="Telobesedila"/>
        <w:rPr>
          <w:rFonts w:ascii="Open Sans" w:hAnsi="Open Sans" w:cs="Open Sans"/>
          <w:b/>
          <w:sz w:val="44"/>
        </w:rPr>
      </w:pPr>
    </w:p>
    <w:p w14:paraId="45B3EDB9" w14:textId="77777777" w:rsidR="006A3AA8" w:rsidRPr="004C015B" w:rsidRDefault="006A3AA8">
      <w:pPr>
        <w:pStyle w:val="Telobesedila"/>
        <w:spacing w:before="504"/>
        <w:rPr>
          <w:rFonts w:ascii="Open Sans" w:hAnsi="Open Sans" w:cs="Open Sans"/>
          <w:b/>
          <w:sz w:val="44"/>
        </w:rPr>
      </w:pPr>
    </w:p>
    <w:p w14:paraId="22B3AE25" w14:textId="77777777" w:rsidR="006A3AA8" w:rsidRPr="004C015B" w:rsidRDefault="00130D39">
      <w:pPr>
        <w:pStyle w:val="Telobesedila"/>
        <w:ind w:right="137"/>
        <w:jc w:val="center"/>
        <w:rPr>
          <w:rFonts w:ascii="Open Sans" w:hAnsi="Open Sans" w:cs="Open Sans"/>
        </w:rPr>
      </w:pPr>
      <w:r w:rsidRPr="004C015B">
        <w:rPr>
          <w:rFonts w:ascii="Open Sans" w:hAnsi="Open Sans" w:cs="Open Sans"/>
        </w:rPr>
        <w:t>Ljubljana,</w:t>
      </w:r>
      <w:r w:rsidRPr="004C015B">
        <w:rPr>
          <w:rFonts w:ascii="Open Sans" w:hAnsi="Open Sans" w:cs="Open Sans"/>
          <w:spacing w:val="-4"/>
        </w:rPr>
        <w:t xml:space="preserve"> </w:t>
      </w:r>
      <w:r w:rsidRPr="004C015B">
        <w:rPr>
          <w:rFonts w:ascii="Open Sans" w:hAnsi="Open Sans" w:cs="Open Sans"/>
        </w:rPr>
        <w:t>september</w:t>
      </w:r>
      <w:r w:rsidRPr="004C015B">
        <w:rPr>
          <w:rFonts w:ascii="Open Sans" w:hAnsi="Open Sans" w:cs="Open Sans"/>
          <w:spacing w:val="-5"/>
        </w:rPr>
        <w:t xml:space="preserve"> </w:t>
      </w:r>
      <w:r w:rsidRPr="004C015B">
        <w:rPr>
          <w:rFonts w:ascii="Open Sans" w:hAnsi="Open Sans" w:cs="Open Sans"/>
          <w:spacing w:val="-4"/>
        </w:rPr>
        <w:t>2026</w:t>
      </w:r>
    </w:p>
    <w:p w14:paraId="622C9669" w14:textId="77777777" w:rsidR="006A3AA8" w:rsidRPr="004C015B" w:rsidRDefault="006A3AA8">
      <w:pPr>
        <w:pStyle w:val="Telobesedila"/>
        <w:jc w:val="center"/>
        <w:rPr>
          <w:rFonts w:ascii="Open Sans" w:hAnsi="Open Sans" w:cs="Open Sans"/>
        </w:rPr>
        <w:sectPr w:rsidR="006A3AA8" w:rsidRPr="004C015B">
          <w:type w:val="continuous"/>
          <w:pgSz w:w="11910" w:h="16840"/>
          <w:pgMar w:top="1740" w:right="1275" w:bottom="280" w:left="1700" w:header="708" w:footer="708" w:gutter="0"/>
          <w:cols w:space="708"/>
        </w:sectPr>
      </w:pPr>
    </w:p>
    <w:p w14:paraId="6393133C" w14:textId="493788C9" w:rsidR="00492300" w:rsidRPr="004C015B" w:rsidRDefault="004C015B" w:rsidP="004C015B">
      <w:pPr>
        <w:pStyle w:val="Telobesedila"/>
        <w:spacing w:after="140" w:line="276" w:lineRule="auto"/>
        <w:jc w:val="both"/>
        <w:rPr>
          <w:rFonts w:ascii="Open Sans" w:hAnsi="Open Sans" w:cs="Open Sans"/>
        </w:rPr>
      </w:pPr>
      <w:r w:rsidRPr="004C015B">
        <w:rPr>
          <w:rFonts w:ascii="Open Sans" w:hAnsi="Open Sans" w:cs="Open Sans"/>
          <w:sz w:val="20"/>
        </w:rPr>
        <w:t xml:space="preserve">Na podlagi </w:t>
      </w:r>
      <w:hyperlink r:id="rId9" w:history="1">
        <w:r w:rsidRPr="005F4071">
          <w:rPr>
            <w:rStyle w:val="Hiperpovezava"/>
            <w:rFonts w:ascii="Open Sans" w:hAnsi="Open Sans" w:cs="Open Sans"/>
            <w:sz w:val="20"/>
          </w:rPr>
          <w:t>Uredbe o preprečevanju večjih nesreč in zmanjševanju njihovih posledic</w:t>
        </w:r>
      </w:hyperlink>
      <w:r w:rsidRPr="004C015B">
        <w:rPr>
          <w:rFonts w:ascii="Open Sans" w:hAnsi="Open Sans" w:cs="Open Sans"/>
          <w:sz w:val="20"/>
        </w:rPr>
        <w:t xml:space="preserve"> Javno podjetje Energetika Ljubljana, d.o.o., podaja informacijo za javnost o enoti TE-TOL. Vsebina je pripravljena po 1. do 5. in 8. točki I. dela Priloge 4 uredbe za obrat manjšega tveganja za okolje.</w:t>
      </w:r>
    </w:p>
    <w:p w14:paraId="1C55BD84" w14:textId="77777777" w:rsidR="00492300" w:rsidRPr="004C015B" w:rsidRDefault="004C015B" w:rsidP="004C015B">
      <w:pPr>
        <w:pStyle w:val="Naslov2"/>
        <w:keepNext/>
        <w:spacing w:before="240" w:after="140"/>
        <w:rPr>
          <w:rFonts w:ascii="Open Sans" w:hAnsi="Open Sans" w:cs="Open Sans"/>
        </w:rPr>
      </w:pPr>
      <w:r w:rsidRPr="004C015B">
        <w:rPr>
          <w:rFonts w:ascii="Open Sans" w:hAnsi="Open Sans" w:cs="Open Sans"/>
        </w:rPr>
        <w:t>1. Firma in naslov upravljavca ter ime in naslov obrata</w:t>
      </w:r>
    </w:p>
    <w:p w14:paraId="205426D4" w14:textId="77777777" w:rsidR="00492300" w:rsidRPr="004C015B" w:rsidRDefault="004C015B" w:rsidP="004C015B">
      <w:pPr>
        <w:pStyle w:val="Telobesedila"/>
        <w:spacing w:after="140" w:line="276" w:lineRule="auto"/>
        <w:jc w:val="both"/>
        <w:rPr>
          <w:rFonts w:ascii="Open Sans" w:hAnsi="Open Sans" w:cs="Open Sans"/>
        </w:rPr>
      </w:pPr>
      <w:r w:rsidRPr="004C015B">
        <w:rPr>
          <w:rFonts w:ascii="Open Sans" w:hAnsi="Open Sans" w:cs="Open Sans"/>
          <w:b/>
          <w:sz w:val="20"/>
        </w:rPr>
        <w:t>Upravljavec:</w:t>
      </w:r>
      <w:r w:rsidRPr="004C015B">
        <w:rPr>
          <w:rFonts w:ascii="Open Sans" w:hAnsi="Open Sans" w:cs="Open Sans"/>
          <w:sz w:val="20"/>
        </w:rPr>
        <w:t xml:space="preserve"> Javno podjetje Energetika Ljubljana, d.o.o., Verovškova ulica 62, 1000 Ljubljana.</w:t>
      </w:r>
    </w:p>
    <w:p w14:paraId="57625D7E" w14:textId="77777777" w:rsidR="00492300" w:rsidRPr="004C015B" w:rsidRDefault="004C015B" w:rsidP="004C015B">
      <w:pPr>
        <w:pStyle w:val="Telobesedila"/>
        <w:spacing w:after="140" w:line="276" w:lineRule="auto"/>
        <w:jc w:val="both"/>
        <w:rPr>
          <w:rFonts w:ascii="Open Sans" w:hAnsi="Open Sans" w:cs="Open Sans"/>
        </w:rPr>
      </w:pPr>
      <w:r w:rsidRPr="004C015B">
        <w:rPr>
          <w:rFonts w:ascii="Open Sans" w:hAnsi="Open Sans" w:cs="Open Sans"/>
          <w:b/>
          <w:sz w:val="20"/>
        </w:rPr>
        <w:t>Obrat:</w:t>
      </w:r>
      <w:r w:rsidRPr="004C015B">
        <w:rPr>
          <w:rFonts w:ascii="Open Sans" w:hAnsi="Open Sans" w:cs="Open Sans"/>
          <w:sz w:val="20"/>
        </w:rPr>
        <w:t xml:space="preserve"> enota TE-TOL, Toplarniška ulica 19, 1000 Ljubljana.</w:t>
      </w:r>
    </w:p>
    <w:p w14:paraId="73A999BD" w14:textId="77777777" w:rsidR="00492300" w:rsidRPr="004C015B" w:rsidRDefault="004C015B" w:rsidP="004C015B">
      <w:pPr>
        <w:pStyle w:val="Telobesedila"/>
        <w:spacing w:after="140" w:line="276" w:lineRule="auto"/>
        <w:jc w:val="both"/>
        <w:rPr>
          <w:rFonts w:ascii="Open Sans" w:hAnsi="Open Sans" w:cs="Open Sans"/>
        </w:rPr>
      </w:pPr>
      <w:r w:rsidRPr="004C015B">
        <w:rPr>
          <w:rFonts w:ascii="Open Sans" w:hAnsi="Open Sans" w:cs="Open Sans"/>
          <w:b/>
          <w:sz w:val="20"/>
        </w:rPr>
        <w:t>Kontakt:</w:t>
      </w:r>
      <w:r w:rsidRPr="004C015B">
        <w:rPr>
          <w:rFonts w:ascii="Open Sans" w:hAnsi="Open Sans" w:cs="Open Sans"/>
          <w:sz w:val="20"/>
        </w:rPr>
        <w:t xml:space="preserve"> tel. 01 587 52 00, e-pošta info@energetika.si, www.energetika.si.</w:t>
      </w:r>
    </w:p>
    <w:p w14:paraId="4C7BE83D" w14:textId="77777777" w:rsidR="00492300" w:rsidRPr="004C015B" w:rsidRDefault="004C015B" w:rsidP="004C015B">
      <w:pPr>
        <w:pStyle w:val="Naslov2"/>
        <w:keepNext/>
        <w:spacing w:before="240" w:after="140"/>
        <w:rPr>
          <w:rFonts w:ascii="Open Sans" w:hAnsi="Open Sans" w:cs="Open Sans"/>
        </w:rPr>
      </w:pPr>
      <w:r w:rsidRPr="004C015B">
        <w:rPr>
          <w:rFonts w:ascii="Open Sans" w:hAnsi="Open Sans" w:cs="Open Sans"/>
        </w:rPr>
        <w:t>2. Status obrata in izpolnjevanje zahtev uredbe</w:t>
      </w:r>
    </w:p>
    <w:p w14:paraId="48893A4F" w14:textId="77777777" w:rsidR="00492300" w:rsidRPr="004C015B" w:rsidRDefault="004C015B" w:rsidP="004C015B">
      <w:pPr>
        <w:pStyle w:val="Telobesedila"/>
        <w:spacing w:after="140" w:line="276" w:lineRule="auto"/>
        <w:jc w:val="both"/>
        <w:rPr>
          <w:rFonts w:ascii="Open Sans" w:hAnsi="Open Sans" w:cs="Open Sans"/>
        </w:rPr>
      </w:pPr>
      <w:r w:rsidRPr="004C015B">
        <w:rPr>
          <w:rFonts w:ascii="Open Sans" w:hAnsi="Open Sans" w:cs="Open Sans"/>
          <w:sz w:val="20"/>
        </w:rPr>
        <w:t>Za enoto TE-TOL se uporablja Uredba o preprečevanju večjih nesreč in zmanjševanju njihovih posledic. Obrat je razvrščen med obrate manjšega tveganja za okolje. Obrat je bil prijavljen, zanj je izdelana Zasnova zmanjšanja tveganja za okolje. Upravljavcu je bilo izdano okoljevarstveno dovoljenje št. 35415-21/2006-9 z dne 27. 5. 2015. Zaradi sprememb v obratu je vložitev vloge za spremembo okoljevarstvenega dovoljenja predvidena 30. 9. 2026.</w:t>
      </w:r>
    </w:p>
    <w:p w14:paraId="538ED3D9" w14:textId="77777777" w:rsidR="00492300" w:rsidRPr="004C015B" w:rsidRDefault="004C015B" w:rsidP="004C015B">
      <w:pPr>
        <w:pStyle w:val="Naslov2"/>
        <w:keepNext/>
        <w:spacing w:before="240" w:after="140"/>
        <w:rPr>
          <w:rFonts w:ascii="Open Sans" w:hAnsi="Open Sans" w:cs="Open Sans"/>
        </w:rPr>
      </w:pPr>
      <w:r w:rsidRPr="004C015B">
        <w:rPr>
          <w:rFonts w:ascii="Open Sans" w:hAnsi="Open Sans" w:cs="Open Sans"/>
        </w:rPr>
        <w:t>3. Enostaven opis dejavnosti obrata</w:t>
      </w:r>
    </w:p>
    <w:p w14:paraId="2961FBEF" w14:textId="77777777" w:rsidR="00492300" w:rsidRPr="004C015B" w:rsidRDefault="004C015B" w:rsidP="004C015B">
      <w:pPr>
        <w:pStyle w:val="Telobesedila"/>
        <w:spacing w:after="140" w:line="276" w:lineRule="auto"/>
        <w:jc w:val="both"/>
        <w:rPr>
          <w:rFonts w:ascii="Open Sans" w:hAnsi="Open Sans" w:cs="Open Sans"/>
        </w:rPr>
      </w:pPr>
      <w:r w:rsidRPr="004C015B">
        <w:rPr>
          <w:rFonts w:ascii="Open Sans" w:hAnsi="Open Sans" w:cs="Open Sans"/>
          <w:sz w:val="20"/>
        </w:rPr>
        <w:t>V enoti TE-TOL se proizvajata toplota v obliki vroče vode in pare za daljinsko ogrevanje Ljubljane in okolice ter električna energija v soproizvodnji. Za proizvodnjo in podporne procese se uporabljajo in skladiščijo goriva ter druga sredstva, potrebna za varno obratovanje.</w:t>
      </w:r>
    </w:p>
    <w:p w14:paraId="2F0AB9F8" w14:textId="77777777" w:rsidR="00492300" w:rsidRPr="004C015B" w:rsidRDefault="004C015B" w:rsidP="004C015B">
      <w:pPr>
        <w:pStyle w:val="Naslov2"/>
        <w:keepNext/>
        <w:spacing w:before="240" w:after="140"/>
        <w:rPr>
          <w:rFonts w:ascii="Open Sans" w:hAnsi="Open Sans" w:cs="Open Sans"/>
        </w:rPr>
      </w:pPr>
      <w:r w:rsidRPr="004C015B">
        <w:rPr>
          <w:rFonts w:ascii="Open Sans" w:hAnsi="Open Sans" w:cs="Open Sans"/>
        </w:rPr>
        <w:t>4. Nevarne snovi, ki lahko povzročijo večjo nesrečo</w:t>
      </w:r>
    </w:p>
    <w:p w14:paraId="498D3722" w14:textId="77777777" w:rsidR="00492300" w:rsidRPr="004C015B" w:rsidRDefault="004C015B" w:rsidP="004C015B">
      <w:pPr>
        <w:pStyle w:val="Telobesedila"/>
        <w:spacing w:after="140" w:line="276" w:lineRule="auto"/>
        <w:jc w:val="both"/>
        <w:rPr>
          <w:rFonts w:ascii="Open Sans" w:hAnsi="Open Sans" w:cs="Open Sans"/>
        </w:rPr>
      </w:pPr>
      <w:r w:rsidRPr="004C015B">
        <w:rPr>
          <w:rFonts w:ascii="Open Sans" w:hAnsi="Open Sans" w:cs="Open Sans"/>
          <w:sz w:val="20"/>
        </w:rPr>
        <w:t>V obratu so prisotne nevarne snovi, ki lahko ob izrednih dogodkih povzročijo požar, eksplozijo oziroma onesnaženje okolja. Spodaj so navedene snovi, ki so glede na njihove lastnosti in možne izredne dogodke pomembne z vidika nastanka večje nesreče.</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4"/>
        <w:gridCol w:w="6040"/>
      </w:tblGrid>
      <w:tr w:rsidR="00492300" w:rsidRPr="004C015B" w14:paraId="6C3F8B66" w14:textId="77777777" w:rsidTr="004C015B">
        <w:trPr>
          <w:jc w:val="center"/>
        </w:trPr>
        <w:tc>
          <w:tcPr>
            <w:tcW w:w="3174" w:type="dxa"/>
            <w:shd w:val="clear" w:color="auto" w:fill="E9E9E9"/>
            <w:vAlign w:val="center"/>
          </w:tcPr>
          <w:p w14:paraId="4988FD9A" w14:textId="77777777" w:rsidR="00492300" w:rsidRPr="004C015B" w:rsidRDefault="004C015B">
            <w:pPr>
              <w:rPr>
                <w:rFonts w:ascii="Open Sans" w:hAnsi="Open Sans" w:cs="Open Sans"/>
                <w:sz w:val="20"/>
                <w:szCs w:val="20"/>
              </w:rPr>
            </w:pPr>
            <w:r w:rsidRPr="004C015B">
              <w:rPr>
                <w:rFonts w:ascii="Open Sans" w:hAnsi="Open Sans" w:cs="Open Sans"/>
                <w:b/>
                <w:sz w:val="20"/>
                <w:szCs w:val="20"/>
              </w:rPr>
              <w:t>Nevarna snov</w:t>
            </w:r>
          </w:p>
        </w:tc>
        <w:tc>
          <w:tcPr>
            <w:tcW w:w="6040" w:type="dxa"/>
            <w:shd w:val="clear" w:color="auto" w:fill="E9E9E9"/>
            <w:vAlign w:val="center"/>
          </w:tcPr>
          <w:p w14:paraId="2775C627" w14:textId="77777777" w:rsidR="00492300" w:rsidRPr="004C015B" w:rsidRDefault="004C015B">
            <w:pPr>
              <w:rPr>
                <w:rFonts w:ascii="Open Sans" w:hAnsi="Open Sans" w:cs="Open Sans"/>
                <w:sz w:val="20"/>
                <w:szCs w:val="20"/>
              </w:rPr>
            </w:pPr>
            <w:r w:rsidRPr="004C015B">
              <w:rPr>
                <w:rFonts w:ascii="Open Sans" w:hAnsi="Open Sans" w:cs="Open Sans"/>
                <w:b/>
                <w:sz w:val="20"/>
                <w:szCs w:val="20"/>
              </w:rPr>
              <w:t>Glavne nevarne lastnosti</w:t>
            </w:r>
          </w:p>
        </w:tc>
      </w:tr>
      <w:tr w:rsidR="00492300" w:rsidRPr="004C015B" w14:paraId="171BA3C0" w14:textId="77777777" w:rsidTr="004C015B">
        <w:trPr>
          <w:jc w:val="center"/>
        </w:trPr>
        <w:tc>
          <w:tcPr>
            <w:tcW w:w="3174" w:type="dxa"/>
            <w:vAlign w:val="center"/>
          </w:tcPr>
          <w:p w14:paraId="5CD3C1F6" w14:textId="77777777" w:rsidR="00492300" w:rsidRPr="004C015B" w:rsidRDefault="004C015B" w:rsidP="004C015B">
            <w:pPr>
              <w:jc w:val="both"/>
              <w:rPr>
                <w:rFonts w:ascii="Open Sans" w:hAnsi="Open Sans" w:cs="Open Sans"/>
                <w:sz w:val="20"/>
                <w:szCs w:val="20"/>
              </w:rPr>
            </w:pPr>
            <w:r w:rsidRPr="004C015B">
              <w:rPr>
                <w:rFonts w:ascii="Open Sans" w:hAnsi="Open Sans" w:cs="Open Sans"/>
                <w:sz w:val="20"/>
                <w:szCs w:val="20"/>
              </w:rPr>
              <w:t>Ekstra lahko kurilno olje (ELKO) in dizelsko gorivo (D2)</w:t>
            </w:r>
          </w:p>
        </w:tc>
        <w:tc>
          <w:tcPr>
            <w:tcW w:w="6040" w:type="dxa"/>
            <w:vAlign w:val="center"/>
          </w:tcPr>
          <w:p w14:paraId="42C4E896" w14:textId="77777777" w:rsidR="00492300" w:rsidRPr="004C015B" w:rsidRDefault="004C015B" w:rsidP="004C015B">
            <w:pPr>
              <w:jc w:val="both"/>
              <w:rPr>
                <w:rFonts w:ascii="Open Sans" w:hAnsi="Open Sans" w:cs="Open Sans"/>
                <w:sz w:val="20"/>
                <w:szCs w:val="20"/>
              </w:rPr>
            </w:pPr>
            <w:r w:rsidRPr="004C015B">
              <w:rPr>
                <w:rFonts w:ascii="Open Sans" w:hAnsi="Open Sans" w:cs="Open Sans"/>
                <w:sz w:val="20"/>
                <w:szCs w:val="20"/>
              </w:rPr>
              <w:t>Gorljivi tekočini. Ob nenadzorovanem izpustu lahko pride do onesnaženja tal in voda. Ob vžigu lahko nastane požar, pri katerem se sproščajo dim in produkti gorenja.</w:t>
            </w:r>
          </w:p>
        </w:tc>
      </w:tr>
      <w:tr w:rsidR="00492300" w:rsidRPr="004C015B" w14:paraId="786BB555" w14:textId="77777777" w:rsidTr="004C015B">
        <w:trPr>
          <w:jc w:val="center"/>
        </w:trPr>
        <w:tc>
          <w:tcPr>
            <w:tcW w:w="3174" w:type="dxa"/>
            <w:vAlign w:val="center"/>
          </w:tcPr>
          <w:p w14:paraId="1A65CDC0" w14:textId="77777777" w:rsidR="00492300" w:rsidRPr="004C015B" w:rsidRDefault="004C015B" w:rsidP="004C015B">
            <w:pPr>
              <w:jc w:val="both"/>
              <w:rPr>
                <w:rFonts w:ascii="Open Sans" w:hAnsi="Open Sans" w:cs="Open Sans"/>
                <w:sz w:val="20"/>
                <w:szCs w:val="20"/>
              </w:rPr>
            </w:pPr>
            <w:r w:rsidRPr="004C015B">
              <w:rPr>
                <w:rFonts w:ascii="Open Sans" w:hAnsi="Open Sans" w:cs="Open Sans"/>
                <w:sz w:val="20"/>
                <w:szCs w:val="20"/>
              </w:rPr>
              <w:t>Zemeljski plin</w:t>
            </w:r>
          </w:p>
        </w:tc>
        <w:tc>
          <w:tcPr>
            <w:tcW w:w="6040" w:type="dxa"/>
            <w:vAlign w:val="center"/>
          </w:tcPr>
          <w:p w14:paraId="4E92FFCA" w14:textId="77777777" w:rsidR="00492300" w:rsidRPr="004C015B" w:rsidRDefault="004C015B" w:rsidP="004C015B">
            <w:pPr>
              <w:jc w:val="both"/>
              <w:rPr>
                <w:rFonts w:ascii="Open Sans" w:hAnsi="Open Sans" w:cs="Open Sans"/>
                <w:sz w:val="20"/>
                <w:szCs w:val="20"/>
              </w:rPr>
            </w:pPr>
            <w:r w:rsidRPr="004C015B">
              <w:rPr>
                <w:rFonts w:ascii="Open Sans" w:hAnsi="Open Sans" w:cs="Open Sans"/>
                <w:sz w:val="20"/>
                <w:szCs w:val="20"/>
              </w:rPr>
              <w:t>Zelo lahko vnetljiv plin. Ob nenadzorovanem izpustu lahko z zrakom tvori vnetljivo oziroma eksplozivno zmes. Ob prisotnosti vira vžiga lahko pride do požara ali eksplozije.</w:t>
            </w:r>
          </w:p>
        </w:tc>
      </w:tr>
      <w:tr w:rsidR="00492300" w:rsidRPr="004C015B" w14:paraId="69BF6B94" w14:textId="77777777" w:rsidTr="004C015B">
        <w:trPr>
          <w:jc w:val="center"/>
        </w:trPr>
        <w:tc>
          <w:tcPr>
            <w:tcW w:w="3174" w:type="dxa"/>
            <w:vAlign w:val="center"/>
          </w:tcPr>
          <w:p w14:paraId="57186C9F" w14:textId="77777777" w:rsidR="00492300" w:rsidRPr="004C015B" w:rsidRDefault="004C015B" w:rsidP="004C015B">
            <w:pPr>
              <w:jc w:val="both"/>
              <w:rPr>
                <w:rFonts w:ascii="Open Sans" w:hAnsi="Open Sans" w:cs="Open Sans"/>
                <w:sz w:val="20"/>
                <w:szCs w:val="20"/>
              </w:rPr>
            </w:pPr>
            <w:r w:rsidRPr="004C015B">
              <w:rPr>
                <w:rFonts w:ascii="Open Sans" w:hAnsi="Open Sans" w:cs="Open Sans"/>
                <w:sz w:val="20"/>
                <w:szCs w:val="20"/>
              </w:rPr>
              <w:t>Vodik</w:t>
            </w:r>
          </w:p>
        </w:tc>
        <w:tc>
          <w:tcPr>
            <w:tcW w:w="6040" w:type="dxa"/>
            <w:vAlign w:val="center"/>
          </w:tcPr>
          <w:p w14:paraId="5F0BFB95" w14:textId="77777777" w:rsidR="00492300" w:rsidRPr="004C015B" w:rsidRDefault="004C015B" w:rsidP="004C015B">
            <w:pPr>
              <w:jc w:val="both"/>
              <w:rPr>
                <w:rFonts w:ascii="Open Sans" w:hAnsi="Open Sans" w:cs="Open Sans"/>
                <w:sz w:val="20"/>
                <w:szCs w:val="20"/>
              </w:rPr>
            </w:pPr>
            <w:r w:rsidRPr="004C015B">
              <w:rPr>
                <w:rFonts w:ascii="Open Sans" w:hAnsi="Open Sans" w:cs="Open Sans"/>
                <w:sz w:val="20"/>
                <w:szCs w:val="20"/>
              </w:rPr>
              <w:t>Zelo lahko vnetljiv plin, ki se lahko sprošča pri polnjenju akumulatorjev. Ob nezadostnem prezračevanju se lahko kopiči in z zrakom tvori eksplozivno zmes. Ob prisotnosti vira vžiga lahko pride do požara ali eksplozije.</w:t>
            </w:r>
          </w:p>
        </w:tc>
      </w:tr>
    </w:tbl>
    <w:p w14:paraId="3AC2754F" w14:textId="77777777" w:rsidR="004C015B" w:rsidRPr="004C015B" w:rsidRDefault="004C015B">
      <w:pPr>
        <w:pStyle w:val="Telobesedila"/>
        <w:spacing w:after="140" w:line="276" w:lineRule="auto"/>
        <w:rPr>
          <w:rFonts w:ascii="Open Sans" w:hAnsi="Open Sans" w:cs="Open Sans"/>
          <w:sz w:val="20"/>
        </w:rPr>
      </w:pPr>
    </w:p>
    <w:p w14:paraId="6F8EEE8B" w14:textId="66287FFA" w:rsidR="00492300" w:rsidRPr="004C015B" w:rsidRDefault="004C015B" w:rsidP="004C015B">
      <w:pPr>
        <w:pStyle w:val="Telobesedila"/>
        <w:spacing w:after="140" w:line="276" w:lineRule="auto"/>
        <w:jc w:val="both"/>
        <w:rPr>
          <w:rFonts w:ascii="Open Sans" w:hAnsi="Open Sans" w:cs="Open Sans"/>
        </w:rPr>
      </w:pPr>
      <w:r w:rsidRPr="004C015B">
        <w:rPr>
          <w:rFonts w:ascii="Open Sans" w:hAnsi="Open Sans" w:cs="Open Sans"/>
          <w:sz w:val="20"/>
        </w:rPr>
        <w:t>V obratu se izvajajo tehnični in organizacijski ukrepi za preprečevanje izrednih dogodkov in omejevanje njihovih posledic. Ti vključujejo nadzor in vzdrževanje naprav in opreme, sisteme za zaznavanje nevarnih stanj, protipožarno in eksplozijsko zaščito ter postopke za varno obratovanje in ukrepanje ob izrednih dogodkih.</w:t>
      </w:r>
    </w:p>
    <w:p w14:paraId="59624C45" w14:textId="77777777" w:rsidR="00492300" w:rsidRPr="004C015B" w:rsidRDefault="004C015B">
      <w:pPr>
        <w:pStyle w:val="Naslov2"/>
        <w:keepNext/>
        <w:pageBreakBefore/>
        <w:spacing w:before="240" w:after="140"/>
        <w:rPr>
          <w:rFonts w:ascii="Open Sans" w:hAnsi="Open Sans" w:cs="Open Sans"/>
        </w:rPr>
      </w:pPr>
      <w:r w:rsidRPr="004C015B">
        <w:rPr>
          <w:rFonts w:ascii="Open Sans" w:hAnsi="Open Sans" w:cs="Open Sans"/>
        </w:rPr>
        <w:t>5. Opozarjanje javnosti in ravnanje ob večji nesreči</w:t>
      </w:r>
    </w:p>
    <w:p w14:paraId="2B14E3FC" w14:textId="77777777" w:rsidR="00492300" w:rsidRPr="004C015B" w:rsidRDefault="004C015B" w:rsidP="004C015B">
      <w:pPr>
        <w:pStyle w:val="Telobesedila"/>
        <w:spacing w:after="140" w:line="276" w:lineRule="auto"/>
        <w:jc w:val="both"/>
        <w:rPr>
          <w:rFonts w:ascii="Open Sans" w:hAnsi="Open Sans" w:cs="Open Sans"/>
          <w:sz w:val="20"/>
          <w:szCs w:val="20"/>
        </w:rPr>
      </w:pPr>
      <w:r w:rsidRPr="004C015B">
        <w:rPr>
          <w:rFonts w:ascii="Open Sans" w:hAnsi="Open Sans" w:cs="Open Sans"/>
          <w:sz w:val="20"/>
          <w:szCs w:val="20"/>
        </w:rPr>
        <w:t>Ob večji nesreči se opozarjanje javnosti v okolici obrata lahko izvaja s sirenami in obvestili pristojnih služb prek sredstev javnega obveščanja. Vodja izmene v obratu sproži predpisane postopke obveščanja in ukrepanja. Spremljajte uradna obvestila ter navodila pristojnih služb in reševalcev.</w:t>
      </w:r>
    </w:p>
    <w:p w14:paraId="5B7B0A1F" w14:textId="36449A41" w:rsidR="00492300" w:rsidRPr="004C015B" w:rsidRDefault="004C015B" w:rsidP="004C015B">
      <w:pPr>
        <w:pStyle w:val="Telobesedila"/>
        <w:numPr>
          <w:ilvl w:val="0"/>
          <w:numId w:val="4"/>
        </w:numPr>
        <w:spacing w:after="100"/>
        <w:jc w:val="both"/>
        <w:rPr>
          <w:rFonts w:ascii="Open Sans" w:hAnsi="Open Sans" w:cs="Open Sans"/>
          <w:sz w:val="20"/>
          <w:szCs w:val="20"/>
        </w:rPr>
      </w:pPr>
      <w:r w:rsidRPr="004C015B">
        <w:rPr>
          <w:rFonts w:ascii="Open Sans" w:hAnsi="Open Sans" w:cs="Open Sans"/>
          <w:sz w:val="20"/>
          <w:szCs w:val="20"/>
        </w:rPr>
        <w:t>Če opazite ogenj, dim ali drugo nevarnost, pokličite 112 in opišite dogodek.</w:t>
      </w:r>
    </w:p>
    <w:p w14:paraId="1A401D5B" w14:textId="5B092188" w:rsidR="00492300" w:rsidRPr="004C015B" w:rsidRDefault="004C015B" w:rsidP="004C015B">
      <w:pPr>
        <w:pStyle w:val="Telobesedila"/>
        <w:numPr>
          <w:ilvl w:val="0"/>
          <w:numId w:val="4"/>
        </w:numPr>
        <w:spacing w:after="100"/>
        <w:jc w:val="both"/>
        <w:rPr>
          <w:rFonts w:ascii="Open Sans" w:hAnsi="Open Sans" w:cs="Open Sans"/>
          <w:sz w:val="20"/>
          <w:szCs w:val="20"/>
        </w:rPr>
      </w:pPr>
      <w:r w:rsidRPr="004C015B">
        <w:rPr>
          <w:rFonts w:ascii="Open Sans" w:hAnsi="Open Sans" w:cs="Open Sans"/>
          <w:sz w:val="20"/>
          <w:szCs w:val="20"/>
        </w:rPr>
        <w:t>Ob opozorilu se umaknite v zaprt prostor, zaprite okna in vrata ter spremljajte obvestila pristojnih služb. Prostor zapustite, ko pristojne službe sporočijo, da je varno, ali če odredijo umik.</w:t>
      </w:r>
    </w:p>
    <w:p w14:paraId="28B2FA96" w14:textId="08584177" w:rsidR="00492300" w:rsidRPr="004C015B" w:rsidRDefault="004C015B" w:rsidP="004C015B">
      <w:pPr>
        <w:pStyle w:val="Telobesedila"/>
        <w:numPr>
          <w:ilvl w:val="0"/>
          <w:numId w:val="4"/>
        </w:numPr>
        <w:spacing w:after="100"/>
        <w:jc w:val="both"/>
        <w:rPr>
          <w:rFonts w:ascii="Open Sans" w:hAnsi="Open Sans" w:cs="Open Sans"/>
          <w:sz w:val="20"/>
          <w:szCs w:val="20"/>
        </w:rPr>
      </w:pPr>
      <w:r w:rsidRPr="004C015B">
        <w:rPr>
          <w:rFonts w:ascii="Open Sans" w:hAnsi="Open Sans" w:cs="Open Sans"/>
          <w:sz w:val="20"/>
          <w:szCs w:val="20"/>
        </w:rPr>
        <w:t>Če ste zunaj blizu dogodka, se umaknite z nevarnega območja. Izogibajte se smeri širjenja dima ali plinov; upoštevajte navodila reševalcev.</w:t>
      </w:r>
    </w:p>
    <w:p w14:paraId="75440DC0" w14:textId="77777777" w:rsidR="00492300" w:rsidRPr="004C015B" w:rsidRDefault="004C015B" w:rsidP="004C015B">
      <w:pPr>
        <w:pStyle w:val="Telobesedila"/>
        <w:spacing w:after="140" w:line="276" w:lineRule="auto"/>
        <w:jc w:val="both"/>
        <w:rPr>
          <w:rFonts w:ascii="Open Sans" w:hAnsi="Open Sans" w:cs="Open Sans"/>
          <w:sz w:val="20"/>
          <w:szCs w:val="20"/>
        </w:rPr>
      </w:pPr>
      <w:r w:rsidRPr="004C015B">
        <w:rPr>
          <w:rFonts w:ascii="Open Sans" w:hAnsi="Open Sans" w:cs="Open Sans"/>
          <w:sz w:val="20"/>
          <w:szCs w:val="20"/>
        </w:rPr>
        <w:t>Podrobnejša priporočila prebivalcem za ravnanje ob nesrečah z nevarnimi snovmi so navedena v Prilogi 14 Načrta zaščite in reševanja enote TE-TOL.</w:t>
      </w:r>
    </w:p>
    <w:p w14:paraId="4ED086F8" w14:textId="77777777" w:rsidR="00492300" w:rsidRPr="004C015B" w:rsidRDefault="004C015B" w:rsidP="004C015B">
      <w:pPr>
        <w:pStyle w:val="Naslov2"/>
        <w:keepNext/>
        <w:spacing w:before="240" w:after="140"/>
        <w:rPr>
          <w:rFonts w:ascii="Open Sans" w:hAnsi="Open Sans" w:cs="Open Sans"/>
        </w:rPr>
      </w:pPr>
      <w:r w:rsidRPr="004C015B">
        <w:rPr>
          <w:rFonts w:ascii="Open Sans" w:hAnsi="Open Sans" w:cs="Open Sans"/>
        </w:rPr>
        <w:t>8. Dodatne informacije</w:t>
      </w:r>
    </w:p>
    <w:p w14:paraId="30D6BAA0" w14:textId="77777777" w:rsidR="00492300" w:rsidRPr="004C015B" w:rsidRDefault="004C015B" w:rsidP="004C015B">
      <w:pPr>
        <w:pStyle w:val="Telobesedila"/>
        <w:spacing w:after="140" w:line="276" w:lineRule="auto"/>
        <w:jc w:val="both"/>
        <w:rPr>
          <w:rFonts w:ascii="Open Sans" w:hAnsi="Open Sans" w:cs="Open Sans"/>
        </w:rPr>
      </w:pPr>
      <w:r w:rsidRPr="004C015B">
        <w:rPr>
          <w:rFonts w:ascii="Open Sans" w:hAnsi="Open Sans" w:cs="Open Sans"/>
          <w:sz w:val="20"/>
        </w:rPr>
        <w:t>Dodatne informacije o varnostnih ukrepih, nevarnih snoveh in ravnanju ob večji nesreči so na voljo pri upravljavcu obrata: Javno podjetje Energetika Ljubljana, d.o.o., enota TE-TOL, Toplarniška ulica 19, 1000 Ljubljana, tel. 01 587 52 00, e-pošta info@energetika.si.</w:t>
      </w:r>
    </w:p>
    <w:p w14:paraId="41E097E7" w14:textId="77777777" w:rsidR="004C015B" w:rsidRDefault="004C015B" w:rsidP="004C015B">
      <w:pPr>
        <w:pStyle w:val="Telobesedila"/>
        <w:spacing w:after="140" w:line="276" w:lineRule="auto"/>
        <w:jc w:val="both"/>
        <w:rPr>
          <w:rFonts w:ascii="Open Sans" w:hAnsi="Open Sans" w:cs="Open Sans"/>
          <w:sz w:val="20"/>
        </w:rPr>
      </w:pPr>
      <w:r w:rsidRPr="004C015B">
        <w:rPr>
          <w:rFonts w:ascii="Open Sans" w:hAnsi="Open Sans" w:cs="Open Sans"/>
          <w:sz w:val="20"/>
        </w:rPr>
        <w:t xml:space="preserve">Za strokovna pojasnila se lahko obrnete tudi na: </w:t>
      </w:r>
    </w:p>
    <w:p w14:paraId="36ECA4C8" w14:textId="3C27FF52" w:rsidR="004C015B" w:rsidRDefault="004C015B" w:rsidP="004C015B">
      <w:pPr>
        <w:pStyle w:val="Telobesedila"/>
        <w:numPr>
          <w:ilvl w:val="0"/>
          <w:numId w:val="3"/>
        </w:numPr>
        <w:spacing w:line="276" w:lineRule="auto"/>
        <w:jc w:val="both"/>
        <w:rPr>
          <w:rFonts w:ascii="Open Sans" w:hAnsi="Open Sans" w:cs="Open Sans"/>
          <w:sz w:val="20"/>
        </w:rPr>
      </w:pPr>
      <w:r w:rsidRPr="004C015B">
        <w:rPr>
          <w:rFonts w:ascii="Open Sans" w:hAnsi="Open Sans" w:cs="Open Sans"/>
          <w:sz w:val="20"/>
        </w:rPr>
        <w:t>poveljnika CZ in tehničnega direktorja Marka Agreža (</w:t>
      </w:r>
      <w:hyperlink r:id="rId10" w:history="1">
        <w:r w:rsidRPr="00686E37">
          <w:rPr>
            <w:rStyle w:val="Hiperpovezava"/>
            <w:rFonts w:ascii="Open Sans" w:hAnsi="Open Sans" w:cs="Open Sans"/>
            <w:sz w:val="20"/>
          </w:rPr>
          <w:t>marko.agrez@energetika.si</w:t>
        </w:r>
      </w:hyperlink>
      <w:r w:rsidRPr="004C015B">
        <w:rPr>
          <w:rFonts w:ascii="Open Sans" w:hAnsi="Open Sans" w:cs="Open Sans"/>
          <w:sz w:val="20"/>
        </w:rPr>
        <w:t xml:space="preserve">); </w:t>
      </w:r>
    </w:p>
    <w:p w14:paraId="176B8B9E" w14:textId="544E779B" w:rsidR="004C015B" w:rsidRDefault="004C015B" w:rsidP="004C015B">
      <w:pPr>
        <w:pStyle w:val="Telobesedila"/>
        <w:numPr>
          <w:ilvl w:val="0"/>
          <w:numId w:val="3"/>
        </w:numPr>
        <w:spacing w:line="276" w:lineRule="auto"/>
        <w:jc w:val="both"/>
        <w:rPr>
          <w:rFonts w:ascii="Open Sans" w:hAnsi="Open Sans" w:cs="Open Sans"/>
          <w:sz w:val="20"/>
        </w:rPr>
      </w:pPr>
      <w:r w:rsidRPr="004C015B">
        <w:rPr>
          <w:rFonts w:ascii="Open Sans" w:hAnsi="Open Sans" w:cs="Open Sans"/>
          <w:sz w:val="20"/>
        </w:rPr>
        <w:t>namestnika poveljnika CZ in pooblaščenca direktorja za varstvo pri delu, požarno varstvo in civilno zaščito Aleksandra Klopčiča (</w:t>
      </w:r>
      <w:hyperlink r:id="rId11" w:history="1">
        <w:r w:rsidRPr="00686E37">
          <w:rPr>
            <w:rStyle w:val="Hiperpovezava"/>
            <w:rFonts w:ascii="Open Sans" w:hAnsi="Open Sans" w:cs="Open Sans"/>
            <w:sz w:val="20"/>
          </w:rPr>
          <w:t>aleksander.klopcic@energetika.si</w:t>
        </w:r>
      </w:hyperlink>
      <w:r w:rsidRPr="004C015B">
        <w:rPr>
          <w:rFonts w:ascii="Open Sans" w:hAnsi="Open Sans" w:cs="Open Sans"/>
          <w:sz w:val="20"/>
        </w:rPr>
        <w:t xml:space="preserve">); </w:t>
      </w:r>
    </w:p>
    <w:p w14:paraId="3619519A" w14:textId="6A4EFFDE" w:rsidR="004C015B" w:rsidRDefault="004C015B" w:rsidP="004C015B">
      <w:pPr>
        <w:pStyle w:val="Telobesedila"/>
        <w:numPr>
          <w:ilvl w:val="0"/>
          <w:numId w:val="3"/>
        </w:numPr>
        <w:spacing w:line="276" w:lineRule="auto"/>
        <w:jc w:val="both"/>
        <w:rPr>
          <w:rFonts w:ascii="Open Sans" w:hAnsi="Open Sans" w:cs="Open Sans"/>
          <w:sz w:val="20"/>
        </w:rPr>
      </w:pPr>
      <w:r w:rsidRPr="004C015B">
        <w:rPr>
          <w:rFonts w:ascii="Open Sans" w:hAnsi="Open Sans" w:cs="Open Sans"/>
          <w:sz w:val="20"/>
        </w:rPr>
        <w:t>pooblaščenko direktorja za okolje in kakovost Ireno Debeljak (</w:t>
      </w:r>
      <w:hyperlink r:id="rId12" w:history="1">
        <w:r w:rsidRPr="00686E37">
          <w:rPr>
            <w:rStyle w:val="Hiperpovezava"/>
            <w:rFonts w:ascii="Open Sans" w:hAnsi="Open Sans" w:cs="Open Sans"/>
            <w:sz w:val="20"/>
          </w:rPr>
          <w:t>irena.debeljak@energetika.si</w:t>
        </w:r>
      </w:hyperlink>
      <w:r w:rsidRPr="004C015B">
        <w:rPr>
          <w:rFonts w:ascii="Open Sans" w:hAnsi="Open Sans" w:cs="Open Sans"/>
          <w:sz w:val="20"/>
        </w:rPr>
        <w:t xml:space="preserve">). </w:t>
      </w:r>
    </w:p>
    <w:p w14:paraId="38C2607F" w14:textId="0C5F10EF" w:rsidR="00492300" w:rsidRPr="004C015B" w:rsidRDefault="004C015B" w:rsidP="004C015B">
      <w:pPr>
        <w:pStyle w:val="Telobesedila"/>
        <w:spacing w:line="276" w:lineRule="auto"/>
        <w:jc w:val="both"/>
        <w:rPr>
          <w:rFonts w:ascii="Open Sans" w:hAnsi="Open Sans" w:cs="Open Sans"/>
        </w:rPr>
      </w:pPr>
      <w:r w:rsidRPr="004C015B">
        <w:rPr>
          <w:rFonts w:ascii="Open Sans" w:hAnsi="Open Sans" w:cs="Open Sans"/>
          <w:sz w:val="20"/>
        </w:rPr>
        <w:t>Dodatne informacije se posredujejo ob upoštevanju predpisov o dostopu do informacij javnega značaja.</w:t>
      </w:r>
    </w:p>
    <w:sectPr w:rsidR="00492300" w:rsidRPr="004C015B">
      <w:pgSz w:w="11910" w:h="16840"/>
      <w:pgMar w:top="900" w:right="1275" w:bottom="720" w:left="1700" w:header="0" w:footer="53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8FBC9" w14:textId="77777777" w:rsidR="00FD2A21" w:rsidRDefault="00FD2A21">
      <w:r>
        <w:separator/>
      </w:r>
    </w:p>
  </w:endnote>
  <w:endnote w:type="continuationSeparator" w:id="0">
    <w:p w14:paraId="02A16387" w14:textId="77777777" w:rsidR="00FD2A21" w:rsidRDefault="00FD2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Arial MT">
    <w:altName w:val="Arial"/>
    <w:charset w:val="01"/>
    <w:family w:val="swiss"/>
    <w:pitch w:val="variable"/>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BA4FA" w14:textId="77777777" w:rsidR="00FD2A21" w:rsidRDefault="00FD2A21">
      <w:r>
        <w:separator/>
      </w:r>
    </w:p>
  </w:footnote>
  <w:footnote w:type="continuationSeparator" w:id="0">
    <w:p w14:paraId="257CCFAF" w14:textId="77777777" w:rsidR="00FD2A21" w:rsidRDefault="00FD2A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867A7A"/>
    <w:multiLevelType w:val="hybridMultilevel"/>
    <w:tmpl w:val="E90CF5DE"/>
    <w:lvl w:ilvl="0" w:tplc="04240001">
      <w:start w:val="1"/>
      <w:numFmt w:val="bullet"/>
      <w:lvlText w:val=""/>
      <w:lvlJc w:val="left"/>
      <w:pPr>
        <w:ind w:left="360" w:hanging="360"/>
      </w:pPr>
      <w:rPr>
        <w:rFonts w:ascii="Symbol" w:hAnsi="Symbol" w:hint="default"/>
        <w:lang w:val="sl-SI"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326755B4"/>
    <w:multiLevelType w:val="hybridMultilevel"/>
    <w:tmpl w:val="28EC64A4"/>
    <w:lvl w:ilvl="0" w:tplc="58762172">
      <w:numFmt w:val="bullet"/>
      <w:lvlText w:val="•"/>
      <w:lvlJc w:val="left"/>
      <w:pPr>
        <w:ind w:left="360" w:hanging="360"/>
      </w:pPr>
      <w:rPr>
        <w:rFonts w:hint="default"/>
        <w:lang w:val="sl-SI"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45701D2C"/>
    <w:multiLevelType w:val="hybridMultilevel"/>
    <w:tmpl w:val="D128915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65C0487C"/>
    <w:multiLevelType w:val="hybridMultilevel"/>
    <w:tmpl w:val="038A1A44"/>
    <w:lvl w:ilvl="0" w:tplc="25441A1E">
      <w:numFmt w:val="bullet"/>
      <w:lvlText w:val=""/>
      <w:lvlJc w:val="left"/>
      <w:pPr>
        <w:ind w:left="1070" w:hanging="360"/>
      </w:pPr>
      <w:rPr>
        <w:rFonts w:ascii="Symbol" w:eastAsia="Symbol" w:hAnsi="Symbol" w:cs="Symbol" w:hint="default"/>
        <w:b w:val="0"/>
        <w:bCs w:val="0"/>
        <w:i w:val="0"/>
        <w:iCs w:val="0"/>
        <w:spacing w:val="0"/>
        <w:w w:val="100"/>
        <w:sz w:val="22"/>
        <w:szCs w:val="22"/>
        <w:lang w:val="sl-SI" w:eastAsia="en-US" w:bidi="ar-SA"/>
      </w:rPr>
    </w:lvl>
    <w:lvl w:ilvl="1" w:tplc="58762172">
      <w:numFmt w:val="bullet"/>
      <w:lvlText w:val="•"/>
      <w:lvlJc w:val="left"/>
      <w:pPr>
        <w:ind w:left="1865" w:hanging="360"/>
      </w:pPr>
      <w:rPr>
        <w:rFonts w:hint="default"/>
        <w:lang w:val="sl-SI" w:eastAsia="en-US" w:bidi="ar-SA"/>
      </w:rPr>
    </w:lvl>
    <w:lvl w:ilvl="2" w:tplc="64069CF8">
      <w:numFmt w:val="bullet"/>
      <w:lvlText w:val="•"/>
      <w:lvlJc w:val="left"/>
      <w:pPr>
        <w:ind w:left="2650" w:hanging="360"/>
      </w:pPr>
      <w:rPr>
        <w:rFonts w:hint="default"/>
        <w:lang w:val="sl-SI" w:eastAsia="en-US" w:bidi="ar-SA"/>
      </w:rPr>
    </w:lvl>
    <w:lvl w:ilvl="3" w:tplc="67860688">
      <w:numFmt w:val="bullet"/>
      <w:lvlText w:val="•"/>
      <w:lvlJc w:val="left"/>
      <w:pPr>
        <w:ind w:left="3435" w:hanging="360"/>
      </w:pPr>
      <w:rPr>
        <w:rFonts w:hint="default"/>
        <w:lang w:val="sl-SI" w:eastAsia="en-US" w:bidi="ar-SA"/>
      </w:rPr>
    </w:lvl>
    <w:lvl w:ilvl="4" w:tplc="10341790">
      <w:numFmt w:val="bullet"/>
      <w:lvlText w:val="•"/>
      <w:lvlJc w:val="left"/>
      <w:pPr>
        <w:ind w:left="4220" w:hanging="360"/>
      </w:pPr>
      <w:rPr>
        <w:rFonts w:hint="default"/>
        <w:lang w:val="sl-SI" w:eastAsia="en-US" w:bidi="ar-SA"/>
      </w:rPr>
    </w:lvl>
    <w:lvl w:ilvl="5" w:tplc="619058A6">
      <w:numFmt w:val="bullet"/>
      <w:lvlText w:val="•"/>
      <w:lvlJc w:val="left"/>
      <w:pPr>
        <w:ind w:left="5005" w:hanging="360"/>
      </w:pPr>
      <w:rPr>
        <w:rFonts w:hint="default"/>
        <w:lang w:val="sl-SI" w:eastAsia="en-US" w:bidi="ar-SA"/>
      </w:rPr>
    </w:lvl>
    <w:lvl w:ilvl="6" w:tplc="2A42B574">
      <w:numFmt w:val="bullet"/>
      <w:lvlText w:val="•"/>
      <w:lvlJc w:val="left"/>
      <w:pPr>
        <w:ind w:left="5790" w:hanging="360"/>
      </w:pPr>
      <w:rPr>
        <w:rFonts w:hint="default"/>
        <w:lang w:val="sl-SI" w:eastAsia="en-US" w:bidi="ar-SA"/>
      </w:rPr>
    </w:lvl>
    <w:lvl w:ilvl="7" w:tplc="DA0A441A">
      <w:numFmt w:val="bullet"/>
      <w:lvlText w:val="•"/>
      <w:lvlJc w:val="left"/>
      <w:pPr>
        <w:ind w:left="6575" w:hanging="360"/>
      </w:pPr>
      <w:rPr>
        <w:rFonts w:hint="default"/>
        <w:lang w:val="sl-SI" w:eastAsia="en-US" w:bidi="ar-SA"/>
      </w:rPr>
    </w:lvl>
    <w:lvl w:ilvl="8" w:tplc="0B18F0D0">
      <w:numFmt w:val="bullet"/>
      <w:lvlText w:val="•"/>
      <w:lvlJc w:val="left"/>
      <w:pPr>
        <w:ind w:left="7361" w:hanging="360"/>
      </w:pPr>
      <w:rPr>
        <w:rFonts w:hint="default"/>
        <w:lang w:val="sl-SI" w:eastAsia="en-US" w:bidi="ar-SA"/>
      </w:rPr>
    </w:lvl>
  </w:abstractNum>
  <w:abstractNum w:abstractNumId="4" w15:restartNumberingAfterBreak="0">
    <w:nsid w:val="794F169A"/>
    <w:multiLevelType w:val="hybridMultilevel"/>
    <w:tmpl w:val="382093CE"/>
    <w:lvl w:ilvl="0" w:tplc="96D84BB0">
      <w:numFmt w:val="bullet"/>
      <w:lvlText w:val="•"/>
      <w:lvlJc w:val="left"/>
      <w:pPr>
        <w:ind w:left="473" w:hanging="360"/>
      </w:pPr>
      <w:rPr>
        <w:rFonts w:ascii="Open Sans" w:eastAsia="Arial MT" w:hAnsi="Open Sans" w:cs="Open Sans" w:hint="default"/>
      </w:rPr>
    </w:lvl>
    <w:lvl w:ilvl="1" w:tplc="04240003" w:tentative="1">
      <w:start w:val="1"/>
      <w:numFmt w:val="bullet"/>
      <w:lvlText w:val="o"/>
      <w:lvlJc w:val="left"/>
      <w:pPr>
        <w:ind w:left="1193" w:hanging="360"/>
      </w:pPr>
      <w:rPr>
        <w:rFonts w:ascii="Courier New" w:hAnsi="Courier New" w:cs="Courier New" w:hint="default"/>
      </w:rPr>
    </w:lvl>
    <w:lvl w:ilvl="2" w:tplc="04240005" w:tentative="1">
      <w:start w:val="1"/>
      <w:numFmt w:val="bullet"/>
      <w:lvlText w:val=""/>
      <w:lvlJc w:val="left"/>
      <w:pPr>
        <w:ind w:left="1913" w:hanging="360"/>
      </w:pPr>
      <w:rPr>
        <w:rFonts w:ascii="Wingdings" w:hAnsi="Wingdings" w:hint="default"/>
      </w:rPr>
    </w:lvl>
    <w:lvl w:ilvl="3" w:tplc="04240001" w:tentative="1">
      <w:start w:val="1"/>
      <w:numFmt w:val="bullet"/>
      <w:lvlText w:val=""/>
      <w:lvlJc w:val="left"/>
      <w:pPr>
        <w:ind w:left="2633" w:hanging="360"/>
      </w:pPr>
      <w:rPr>
        <w:rFonts w:ascii="Symbol" w:hAnsi="Symbol" w:hint="default"/>
      </w:rPr>
    </w:lvl>
    <w:lvl w:ilvl="4" w:tplc="04240003" w:tentative="1">
      <w:start w:val="1"/>
      <w:numFmt w:val="bullet"/>
      <w:lvlText w:val="o"/>
      <w:lvlJc w:val="left"/>
      <w:pPr>
        <w:ind w:left="3353" w:hanging="360"/>
      </w:pPr>
      <w:rPr>
        <w:rFonts w:ascii="Courier New" w:hAnsi="Courier New" w:cs="Courier New" w:hint="default"/>
      </w:rPr>
    </w:lvl>
    <w:lvl w:ilvl="5" w:tplc="04240005" w:tentative="1">
      <w:start w:val="1"/>
      <w:numFmt w:val="bullet"/>
      <w:lvlText w:val=""/>
      <w:lvlJc w:val="left"/>
      <w:pPr>
        <w:ind w:left="4073" w:hanging="360"/>
      </w:pPr>
      <w:rPr>
        <w:rFonts w:ascii="Wingdings" w:hAnsi="Wingdings" w:hint="default"/>
      </w:rPr>
    </w:lvl>
    <w:lvl w:ilvl="6" w:tplc="04240001" w:tentative="1">
      <w:start w:val="1"/>
      <w:numFmt w:val="bullet"/>
      <w:lvlText w:val=""/>
      <w:lvlJc w:val="left"/>
      <w:pPr>
        <w:ind w:left="4793" w:hanging="360"/>
      </w:pPr>
      <w:rPr>
        <w:rFonts w:ascii="Symbol" w:hAnsi="Symbol" w:hint="default"/>
      </w:rPr>
    </w:lvl>
    <w:lvl w:ilvl="7" w:tplc="04240003" w:tentative="1">
      <w:start w:val="1"/>
      <w:numFmt w:val="bullet"/>
      <w:lvlText w:val="o"/>
      <w:lvlJc w:val="left"/>
      <w:pPr>
        <w:ind w:left="5513" w:hanging="360"/>
      </w:pPr>
      <w:rPr>
        <w:rFonts w:ascii="Courier New" w:hAnsi="Courier New" w:cs="Courier New" w:hint="default"/>
      </w:rPr>
    </w:lvl>
    <w:lvl w:ilvl="8" w:tplc="04240005" w:tentative="1">
      <w:start w:val="1"/>
      <w:numFmt w:val="bullet"/>
      <w:lvlText w:val=""/>
      <w:lvlJc w:val="left"/>
      <w:pPr>
        <w:ind w:left="6233" w:hanging="360"/>
      </w:pPr>
      <w:rPr>
        <w:rFonts w:ascii="Wingdings" w:hAnsi="Wingdings" w:hint="default"/>
      </w:rPr>
    </w:lvl>
  </w:abstractNum>
  <w:num w:numId="1" w16cid:durableId="772089471">
    <w:abstractNumId w:val="3"/>
  </w:num>
  <w:num w:numId="2" w16cid:durableId="1816098958">
    <w:abstractNumId w:val="1"/>
  </w:num>
  <w:num w:numId="3" w16cid:durableId="2081710215">
    <w:abstractNumId w:val="0"/>
  </w:num>
  <w:num w:numId="4" w16cid:durableId="1473326824">
    <w:abstractNumId w:val="2"/>
  </w:num>
  <w:num w:numId="5" w16cid:durableId="18508698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AA8"/>
    <w:rsid w:val="00130D39"/>
    <w:rsid w:val="00492300"/>
    <w:rsid w:val="004C015B"/>
    <w:rsid w:val="00560C80"/>
    <w:rsid w:val="005B75BF"/>
    <w:rsid w:val="005F4071"/>
    <w:rsid w:val="00623FD7"/>
    <w:rsid w:val="006A3AA8"/>
    <w:rsid w:val="00FD2A2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A3468"/>
  <w15:docId w15:val="{6BBB7302-2670-44DE-BC8A-B7C7837D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Arial MT" w:eastAsia="Arial MT" w:hAnsi="Arial MT" w:cs="Arial MT"/>
      <w:lang w:val="sl-SI"/>
    </w:rPr>
  </w:style>
  <w:style w:type="paragraph" w:styleId="Naslov1">
    <w:name w:val="heading 1"/>
    <w:basedOn w:val="Navaden"/>
    <w:uiPriority w:val="9"/>
    <w:qFormat/>
    <w:pPr>
      <w:spacing w:before="1"/>
      <w:ind w:left="93" w:right="235" w:firstLine="8"/>
      <w:jc w:val="center"/>
      <w:outlineLvl w:val="0"/>
    </w:pPr>
    <w:rPr>
      <w:rFonts w:ascii="Arial" w:eastAsia="Arial" w:hAnsi="Arial" w:cs="Arial"/>
      <w:b/>
      <w:bCs/>
      <w:sz w:val="44"/>
      <w:szCs w:val="44"/>
    </w:rPr>
  </w:style>
  <w:style w:type="paragraph" w:styleId="Naslov2">
    <w:name w:val="heading 2"/>
    <w:basedOn w:val="Navaden"/>
    <w:uiPriority w:val="9"/>
    <w:unhideWhenUsed/>
    <w:qFormat/>
    <w:pPr>
      <w:spacing w:before="252"/>
      <w:ind w:left="2"/>
      <w:jc w:val="both"/>
      <w:outlineLvl w:val="1"/>
    </w:pPr>
    <w:rPr>
      <w:rFonts w:ascii="Arial" w:eastAsia="Arial" w:hAnsi="Arial" w:cs="Arial"/>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style>
  <w:style w:type="paragraph" w:styleId="Odstavekseznama">
    <w:name w:val="List Paragraph"/>
    <w:basedOn w:val="Navaden"/>
    <w:uiPriority w:val="1"/>
    <w:qFormat/>
    <w:pPr>
      <w:ind w:left="1070" w:right="139" w:hanging="360"/>
      <w:jc w:val="both"/>
    </w:pPr>
  </w:style>
  <w:style w:type="paragraph" w:customStyle="1" w:styleId="TableParagraph">
    <w:name w:val="Table Paragraph"/>
    <w:basedOn w:val="Navaden"/>
    <w:uiPriority w:val="1"/>
    <w:qFormat/>
    <w:pPr>
      <w:ind w:left="104"/>
    </w:pPr>
  </w:style>
  <w:style w:type="character" w:styleId="Hiperpovezava">
    <w:name w:val="Hyperlink"/>
    <w:basedOn w:val="Privzetapisavaodstavka"/>
    <w:uiPriority w:val="99"/>
    <w:unhideWhenUsed/>
    <w:rsid w:val="004C015B"/>
    <w:rPr>
      <w:color w:val="0000FF" w:themeColor="hyperlink"/>
      <w:u w:val="single"/>
    </w:rPr>
  </w:style>
  <w:style w:type="character" w:styleId="Nerazreenaomemba">
    <w:name w:val="Unresolved Mention"/>
    <w:basedOn w:val="Privzetapisavaodstavka"/>
    <w:uiPriority w:val="99"/>
    <w:semiHidden/>
    <w:unhideWhenUsed/>
    <w:rsid w:val="004C01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file://localhost/C:/Users/gregor.skrlj/AppData/Local/Microsoft/Windows/INetCache/Content.Outlook/DM6PP80U/www.energetika.s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irena.debeljak@energetika.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leksander.klopcic@energetika.si" TargetMode="External"/><Relationship Id="rId5" Type="http://schemas.openxmlformats.org/officeDocument/2006/relationships/footnotes" Target="footnotes.xml"/><Relationship Id="rId10" Type="http://schemas.openxmlformats.org/officeDocument/2006/relationships/hyperlink" Target="mailto:marko.agrez@energetika.si" TargetMode="External"/><Relationship Id="rId4" Type="http://schemas.openxmlformats.org/officeDocument/2006/relationships/webSettings" Target="webSettings.xml"/><Relationship Id="rId9" Type="http://schemas.openxmlformats.org/officeDocument/2006/relationships/hyperlink" Target="https://pisrs.si/pregledPredpisa?id=URED695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745</Words>
  <Characters>4247</Characters>
  <Application>Microsoft Office Word</Application>
  <DocSecurity>0</DocSecurity>
  <Lines>35</Lines>
  <Paragraphs>9</Paragraphs>
  <ScaleCrop>false</ScaleCrop>
  <Company>JHL</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Gregor Škrlj</cp:lastModifiedBy>
  <cp:revision>2</cp:revision>
  <dcterms:created xsi:type="dcterms:W3CDTF">2026-09-29T08:58:00Z</dcterms:created>
  <dcterms:modified xsi:type="dcterms:W3CDTF">2026-09-29T08:58:00Z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2024-12-02T00:00:00Z</vt:filetime>
  </property>
  <property fmtid="{D5CDD505-2E9C-101B-9397-08002B2CF9AE}" pid="4" name="Creator">
    <vt:lpwstr>Microsoft® Word 2016</vt:lpwstr>
  </property>
  <property fmtid="{D5CDD505-2E9C-101B-9397-08002B2CF9AE}" pid="5" name="LastSaved">
    <vt:filetime>2026-09-23T00:00:00Z</vt:filetime>
  </property>
  <property fmtid="{D5CDD505-2E9C-101B-9397-08002B2CF9AE}" pid="6" name="Producer">
    <vt:lpwstr>Microsoft® Word 2016</vt:lpwstr>
  </property>
</Properties>
</file>