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6B9850F6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873359">
        <w:rPr>
          <w:rFonts w:ascii="Tahoma" w:hAnsi="Tahoma" w:cs="Tahoma"/>
        </w:rPr>
        <w:t>7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2D45A9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2D45A9">
        <w:rPr>
          <w:rFonts w:ascii="Tahoma" w:hAnsi="Tahoma" w:cs="Tahoma"/>
        </w:rPr>
        <w:t>2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5583EC3D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</w:r>
      <w:bookmarkStart w:id="0" w:name="_GoBack"/>
      <w:r w:rsidRPr="005D7F4A">
        <w:rPr>
          <w:rFonts w:ascii="Tahoma" w:hAnsi="Tahoma" w:cs="Tahoma"/>
          <w:sz w:val="22"/>
          <w:szCs w:val="22"/>
        </w:rPr>
        <w:t xml:space="preserve">POJASNILO </w:t>
      </w:r>
      <w:r w:rsidR="00873359">
        <w:rPr>
          <w:rFonts w:ascii="Tahoma" w:hAnsi="Tahoma" w:cs="Tahoma"/>
          <w:sz w:val="22"/>
          <w:szCs w:val="22"/>
        </w:rPr>
        <w:t>3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262DC0">
        <w:rPr>
          <w:rFonts w:ascii="Tahoma" w:hAnsi="Tahoma" w:cs="Tahoma"/>
          <w:b/>
          <w:sz w:val="22"/>
          <w:szCs w:val="22"/>
        </w:rPr>
        <w:t>256/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262DC0">
        <w:rPr>
          <w:rFonts w:ascii="Tahoma" w:hAnsi="Tahoma" w:cs="Tahoma"/>
          <w:b/>
          <w:sz w:val="22"/>
          <w:szCs w:val="22"/>
        </w:rPr>
        <w:t>2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1FF06E1B" w14:textId="77777777" w:rsidR="00C841AA" w:rsidRPr="005D7F4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7EF1F818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873359">
        <w:rPr>
          <w:rFonts w:ascii="Tahoma" w:eastAsiaTheme="minorHAnsi" w:hAnsi="Tahoma" w:cs="Tahoma"/>
          <w:b/>
          <w:sz w:val="22"/>
        </w:rPr>
        <w:t>7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730696"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262DC0"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710F8B1B" w14:textId="77777777" w:rsidR="00873359" w:rsidRPr="00873359" w:rsidRDefault="00C841AA" w:rsidP="0087335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873359" w:rsidRPr="00873359">
        <w:rPr>
          <w:rFonts w:ascii="Tahoma" w:eastAsia="@Arial Unicode MS" w:hAnsi="Tahoma" w:cs="Tahoma"/>
          <w:sz w:val="22"/>
        </w:rPr>
        <w:t>»Sklop 4.</w:t>
      </w:r>
    </w:p>
    <w:p w14:paraId="7C586F82" w14:textId="77777777" w:rsidR="00873359" w:rsidRPr="00873359" w:rsidRDefault="00873359" w:rsidP="0087335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873359">
        <w:rPr>
          <w:rFonts w:ascii="Tahoma" w:eastAsia="@Arial Unicode MS" w:hAnsi="Tahoma" w:cs="Tahoma"/>
          <w:sz w:val="22"/>
        </w:rPr>
        <w:t>148 pladenj 600X300, nizek</w:t>
      </w:r>
    </w:p>
    <w:p w14:paraId="67BAD339" w14:textId="77777777" w:rsidR="00873359" w:rsidRPr="00873359" w:rsidRDefault="00873359" w:rsidP="0087335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873359">
        <w:rPr>
          <w:rFonts w:ascii="Tahoma" w:eastAsia="@Arial Unicode MS" w:hAnsi="Tahoma" w:cs="Tahoma"/>
          <w:sz w:val="22"/>
        </w:rPr>
        <w:t>149 pladenj 400X300, nizek</w:t>
      </w:r>
    </w:p>
    <w:p w14:paraId="05461B6F" w14:textId="77777777" w:rsidR="00873359" w:rsidRPr="00873359" w:rsidRDefault="00873359" w:rsidP="0087335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9834825" w14:textId="6D97301D" w:rsidR="00EB1B24" w:rsidRPr="00EB1B24" w:rsidRDefault="00873359" w:rsidP="0087335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873359">
        <w:rPr>
          <w:rFonts w:ascii="Tahoma" w:eastAsia="@Arial Unicode MS" w:hAnsi="Tahoma" w:cs="Tahoma"/>
          <w:sz w:val="22"/>
        </w:rPr>
        <w:t xml:space="preserve">V odgovoru ste podali opis pladnjev vendar takih </w:t>
      </w:r>
      <w:proofErr w:type="spellStart"/>
      <w:r w:rsidRPr="00873359">
        <w:rPr>
          <w:rFonts w:ascii="Tahoma" w:eastAsia="@Arial Unicode MS" w:hAnsi="Tahoma" w:cs="Tahoma"/>
          <w:sz w:val="22"/>
        </w:rPr>
        <w:t>dimezij</w:t>
      </w:r>
      <w:proofErr w:type="spellEnd"/>
      <w:r w:rsidRPr="00873359">
        <w:rPr>
          <w:rFonts w:ascii="Tahoma" w:eastAsia="@Arial Unicode MS" w:hAnsi="Tahoma" w:cs="Tahoma"/>
          <w:sz w:val="22"/>
        </w:rPr>
        <w:t xml:space="preserve"> pri naših dobaviteljih ne </w:t>
      </w:r>
      <w:proofErr w:type="spellStart"/>
      <w:r w:rsidRPr="00873359">
        <w:rPr>
          <w:rFonts w:ascii="Tahoma" w:eastAsia="@Arial Unicode MS" w:hAnsi="Tahoma" w:cs="Tahoma"/>
          <w:sz w:val="22"/>
        </w:rPr>
        <w:t>najdamo</w:t>
      </w:r>
      <w:proofErr w:type="spellEnd"/>
      <w:r w:rsidRPr="00873359">
        <w:rPr>
          <w:rFonts w:ascii="Tahoma" w:eastAsia="@Arial Unicode MS" w:hAnsi="Tahoma" w:cs="Tahoma"/>
          <w:sz w:val="22"/>
        </w:rPr>
        <w:t xml:space="preserve">, Ker bi se želeli prijaviti na sklop in imamo vse ostale artikle, vas prosimo za pomoč, da nam javite proizvajalca in kodo artiklov ki jih </w:t>
      </w:r>
      <w:proofErr w:type="spellStart"/>
      <w:r w:rsidRPr="00873359">
        <w:rPr>
          <w:rFonts w:ascii="Tahoma" w:eastAsia="@Arial Unicode MS" w:hAnsi="Tahoma" w:cs="Tahoma"/>
          <w:sz w:val="22"/>
        </w:rPr>
        <w:t>uporabjate</w:t>
      </w:r>
      <w:proofErr w:type="spellEnd"/>
      <w:r w:rsidRPr="00873359">
        <w:rPr>
          <w:rFonts w:ascii="Tahoma" w:eastAsia="@Arial Unicode MS" w:hAnsi="Tahoma" w:cs="Tahoma"/>
          <w:sz w:val="22"/>
        </w:rPr>
        <w:t>, ter tako omogočite prijavo na sklop. Hvala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5A7C4E83" w14:textId="228BEA17" w:rsidR="003C34B0" w:rsidRPr="001D2EE9" w:rsidRDefault="00873359" w:rsidP="00EC1AF9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>Naročnik prvič naroča artikla teh dimenzij</w:t>
      </w:r>
      <w:r w:rsidR="00F41D1F" w:rsidRPr="001D2EE9">
        <w:rPr>
          <w:rFonts w:ascii="Tahoma" w:eastAsia="@Arial Unicode MS" w:hAnsi="Tahoma" w:cs="Tahoma"/>
          <w:color w:val="0070C0"/>
          <w:sz w:val="22"/>
        </w:rPr>
        <w:t>.</w:t>
      </w:r>
      <w:r w:rsidR="00D05DE1">
        <w:rPr>
          <w:rFonts w:ascii="Tahoma" w:eastAsia="@Arial Unicode MS" w:hAnsi="Tahoma" w:cs="Tahoma"/>
          <w:color w:val="0070C0"/>
          <w:sz w:val="22"/>
        </w:rPr>
        <w:t xml:space="preserve"> Ker naročnik ne razpolaga z nazivom </w:t>
      </w:r>
      <w:r w:rsidR="00D05DE1" w:rsidRPr="00D05DE1">
        <w:rPr>
          <w:rFonts w:ascii="Tahoma" w:eastAsia="@Arial Unicode MS" w:hAnsi="Tahoma" w:cs="Tahoma"/>
          <w:color w:val="0070C0"/>
          <w:sz w:val="22"/>
        </w:rPr>
        <w:t>proizvajalca in kodo artikla</w:t>
      </w:r>
      <w:r w:rsidR="00D05DE1">
        <w:rPr>
          <w:rFonts w:ascii="Tahoma" w:eastAsia="@Arial Unicode MS" w:hAnsi="Tahoma" w:cs="Tahoma"/>
          <w:color w:val="0070C0"/>
          <w:sz w:val="22"/>
        </w:rPr>
        <w:t>, se je odločil, da</w:t>
      </w:r>
      <w:r w:rsidR="003C34B0" w:rsidRPr="001D2EE9">
        <w:rPr>
          <w:rFonts w:ascii="Tahoma" w:hAnsi="Tahoma" w:cs="Tahoma"/>
          <w:color w:val="0070C0"/>
          <w:sz w:val="22"/>
        </w:rPr>
        <w:t xml:space="preserve"> pri 4. sklopu briše </w:t>
      </w:r>
      <w:r>
        <w:rPr>
          <w:rFonts w:ascii="Tahoma" w:hAnsi="Tahoma" w:cs="Tahoma"/>
          <w:color w:val="0070C0"/>
          <w:sz w:val="22"/>
        </w:rPr>
        <w:t>1</w:t>
      </w:r>
      <w:r w:rsidR="003C34B0" w:rsidRPr="001D2EE9">
        <w:rPr>
          <w:rFonts w:ascii="Tahoma" w:hAnsi="Tahoma" w:cs="Tahoma"/>
          <w:color w:val="0070C0"/>
          <w:sz w:val="22"/>
        </w:rPr>
        <w:t>4</w:t>
      </w:r>
      <w:r>
        <w:rPr>
          <w:rFonts w:ascii="Tahoma" w:hAnsi="Tahoma" w:cs="Tahoma"/>
          <w:color w:val="0070C0"/>
          <w:sz w:val="22"/>
        </w:rPr>
        <w:t>8</w:t>
      </w:r>
      <w:r w:rsidR="003C34B0" w:rsidRPr="001D2EE9">
        <w:rPr>
          <w:rFonts w:ascii="Tahoma" w:hAnsi="Tahoma" w:cs="Tahoma"/>
          <w:color w:val="0070C0"/>
          <w:sz w:val="22"/>
        </w:rPr>
        <w:t>.</w:t>
      </w:r>
      <w:r>
        <w:rPr>
          <w:rFonts w:ascii="Tahoma" w:hAnsi="Tahoma" w:cs="Tahoma"/>
          <w:color w:val="0070C0"/>
          <w:sz w:val="22"/>
        </w:rPr>
        <w:t xml:space="preserve"> in 149.</w:t>
      </w:r>
      <w:r w:rsidR="003C34B0" w:rsidRPr="001D2EE9">
        <w:rPr>
          <w:rFonts w:ascii="Tahoma" w:hAnsi="Tahoma" w:cs="Tahoma"/>
          <w:color w:val="0070C0"/>
          <w:sz w:val="22"/>
        </w:rPr>
        <w:t xml:space="preserve"> pozicijo iz celotnega predračuna popisa blaga.</w:t>
      </w:r>
    </w:p>
    <w:p w14:paraId="79BA62EB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7E71D7DD" w14:textId="77777777" w:rsidR="000C38D0" w:rsidRPr="005D7F4A" w:rsidRDefault="000C38D0" w:rsidP="000C38D0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 xml:space="preserve">. </w:t>
      </w:r>
      <w:r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>. 202</w:t>
      </w:r>
      <w:r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70733B48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0C38D0">
        <w:rPr>
          <w:rFonts w:ascii="Tahoma" w:eastAsia="@Arial Unicode MS" w:hAnsi="Tahoma" w:cs="Tahoma"/>
          <w:sz w:val="22"/>
        </w:rPr>
        <w:t>Skop.3 Tehnološke kemikalije</w:t>
      </w:r>
    </w:p>
    <w:p w14:paraId="0FB63F0E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D9DC657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 xml:space="preserve">19 3000571 </w:t>
      </w:r>
      <w:proofErr w:type="spellStart"/>
      <w:r w:rsidRPr="000C38D0">
        <w:rPr>
          <w:rFonts w:ascii="Tahoma" w:eastAsia="@Arial Unicode MS" w:hAnsi="Tahoma" w:cs="Tahoma"/>
          <w:sz w:val="22"/>
        </w:rPr>
        <w:t>VODOFOS</w:t>
      </w:r>
      <w:proofErr w:type="spellEnd"/>
      <w:r w:rsidRPr="000C38D0">
        <w:rPr>
          <w:rFonts w:ascii="Tahoma" w:eastAsia="@Arial Unicode MS" w:hAnsi="Tahoma" w:cs="Tahoma"/>
          <w:sz w:val="22"/>
        </w:rPr>
        <w:t xml:space="preserve"> 80 S</w:t>
      </w:r>
    </w:p>
    <w:p w14:paraId="08CED1AC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 xml:space="preserve">Dobavitelj nas je obvestil, da so proizvodnjo </w:t>
      </w:r>
      <w:proofErr w:type="spellStart"/>
      <w:r w:rsidRPr="000C38D0">
        <w:rPr>
          <w:rFonts w:ascii="Tahoma" w:eastAsia="@Arial Unicode MS" w:hAnsi="Tahoma" w:cs="Tahoma"/>
          <w:sz w:val="22"/>
        </w:rPr>
        <w:t>vodofosa</w:t>
      </w:r>
      <w:proofErr w:type="spellEnd"/>
      <w:r w:rsidRPr="000C38D0">
        <w:rPr>
          <w:rFonts w:ascii="Tahoma" w:eastAsia="@Arial Unicode MS" w:hAnsi="Tahoma" w:cs="Tahoma"/>
          <w:sz w:val="22"/>
        </w:rPr>
        <w:t xml:space="preserve"> ustavili zaradi velike porabe zemeljskega plina. Artikel ni dobavljiv in ga ni mogoče ponuditi.</w:t>
      </w:r>
    </w:p>
    <w:p w14:paraId="014E73B4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>Prosimo, da ustrezno spremenite sklop in artikel umaknete, saj vam ne moremo podati ponudbe oz. cene.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39B9670E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8B35370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3294BC57" w14:textId="77777777" w:rsidR="000C38D0" w:rsidRPr="001D2EE9" w:rsidRDefault="000C38D0" w:rsidP="000C38D0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>
        <w:rPr>
          <w:rFonts w:ascii="Tahoma" w:hAnsi="Tahoma" w:cs="Tahoma"/>
          <w:color w:val="0070C0"/>
          <w:sz w:val="22"/>
        </w:rPr>
        <w:t>Naročnik pri 3. sklopu briše 19. pozicijo.</w:t>
      </w:r>
    </w:p>
    <w:p w14:paraId="4D552CFE" w14:textId="77777777" w:rsidR="000C38D0" w:rsidRDefault="000C38D0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F0A287B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3BFA61E" w14:textId="77777777" w:rsidR="000C38D0" w:rsidRPr="005D7F4A" w:rsidRDefault="000C38D0" w:rsidP="000C38D0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 xml:space="preserve">. </w:t>
      </w:r>
      <w:r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>. 202</w:t>
      </w:r>
      <w:r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3EA9B421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0C38D0">
        <w:rPr>
          <w:rFonts w:ascii="Tahoma" w:eastAsia="@Arial Unicode MS" w:hAnsi="Tahoma" w:cs="Tahoma"/>
          <w:sz w:val="22"/>
        </w:rPr>
        <w:t>Spoštovani,</w:t>
      </w:r>
    </w:p>
    <w:p w14:paraId="5FFE51A2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>dne 6.7. ste objavili spodnje obvestilo:</w:t>
      </w:r>
    </w:p>
    <w:p w14:paraId="09EA1075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 xml:space="preserve">125. pozicija: Posoda oz. plastenka iz </w:t>
      </w:r>
      <w:proofErr w:type="spellStart"/>
      <w:r w:rsidRPr="000C38D0">
        <w:rPr>
          <w:rFonts w:ascii="Tahoma" w:eastAsia="@Arial Unicode MS" w:hAnsi="Tahoma" w:cs="Tahoma"/>
          <w:sz w:val="22"/>
        </w:rPr>
        <w:t>HDPE</w:t>
      </w:r>
      <w:proofErr w:type="spellEnd"/>
      <w:r w:rsidRPr="000C38D0">
        <w:rPr>
          <w:rFonts w:ascii="Tahoma" w:eastAsia="@Arial Unicode MS" w:hAnsi="Tahoma" w:cs="Tahoma"/>
          <w:sz w:val="22"/>
        </w:rPr>
        <w:t>, primerna za shranjevanje praškastih snovi, granulatov. Volumen 1 liter (1000mL). Naročnik prilaga sliko za predstavo.</w:t>
      </w:r>
    </w:p>
    <w:p w14:paraId="7BBC88DD" w14:textId="77777777" w:rsidR="000C38D0" w:rsidRPr="000C38D0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>Zanima nas, kje lahko vidimo sliko za predstavo?</w:t>
      </w:r>
    </w:p>
    <w:p w14:paraId="320E7C17" w14:textId="244A2992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C38D0">
        <w:rPr>
          <w:rFonts w:ascii="Tahoma" w:eastAsia="@Arial Unicode MS" w:hAnsi="Tahoma" w:cs="Tahoma"/>
          <w:sz w:val="22"/>
        </w:rPr>
        <w:t>Lep pozdrav.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70BB4DC7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CA3B9D0" w14:textId="77777777" w:rsidR="000C38D0" w:rsidRPr="00EB1B24" w:rsidRDefault="000C38D0" w:rsidP="000C38D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101C3768" w14:textId="52E4E467" w:rsidR="000C38D0" w:rsidRPr="001D2EE9" w:rsidRDefault="000C38D0" w:rsidP="000C38D0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>
        <w:rPr>
          <w:rFonts w:ascii="Tahoma" w:hAnsi="Tahoma" w:cs="Tahoma"/>
          <w:color w:val="0070C0"/>
          <w:sz w:val="22"/>
        </w:rPr>
        <w:lastRenderedPageBreak/>
        <w:t>Naročnik</w:t>
      </w:r>
      <w:r>
        <w:rPr>
          <w:rFonts w:ascii="Tahoma" w:hAnsi="Tahoma" w:cs="Tahoma"/>
          <w:color w:val="0070C0"/>
          <w:sz w:val="22"/>
        </w:rPr>
        <w:t xml:space="preserve"> objavlja </w:t>
      </w:r>
      <w:r w:rsidR="000C0F04">
        <w:rPr>
          <w:rFonts w:ascii="Tahoma" w:hAnsi="Tahoma" w:cs="Tahoma"/>
          <w:color w:val="0070C0"/>
          <w:sz w:val="22"/>
        </w:rPr>
        <w:t>P</w:t>
      </w:r>
      <w:r>
        <w:rPr>
          <w:rFonts w:ascii="Tahoma" w:hAnsi="Tahoma" w:cs="Tahoma"/>
          <w:color w:val="0070C0"/>
          <w:sz w:val="22"/>
        </w:rPr>
        <w:t xml:space="preserve">ojasnila tako na Portalu javnih naročil kot na svojih spletnih straneh </w:t>
      </w:r>
      <w:r w:rsidR="000C0F04">
        <w:rPr>
          <w:rFonts w:ascii="Tahoma" w:hAnsi="Tahoma" w:cs="Tahoma"/>
          <w:color w:val="0070C0"/>
          <w:sz w:val="22"/>
        </w:rPr>
        <w:t>(</w:t>
      </w:r>
      <w:hyperlink r:id="rId8" w:history="1">
        <w:r w:rsidR="000C0F04" w:rsidRPr="00B5503F">
          <w:rPr>
            <w:rStyle w:val="Hiperpovezava"/>
            <w:rFonts w:ascii="Tahoma" w:hAnsi="Tahoma" w:cs="Tahoma"/>
            <w:sz w:val="22"/>
          </w:rPr>
          <w:t>https://www.energetika.si/javna-narocila</w:t>
        </w:r>
      </w:hyperlink>
      <w:r w:rsidR="000C0F04">
        <w:rPr>
          <w:rFonts w:ascii="Tahoma" w:hAnsi="Tahoma" w:cs="Tahoma"/>
          <w:color w:val="0070C0"/>
          <w:sz w:val="22"/>
        </w:rPr>
        <w:t>) in na spletnih straneh JHL (</w:t>
      </w:r>
      <w:hyperlink r:id="rId9" w:history="1">
        <w:r w:rsidR="000C0F04" w:rsidRPr="00B5503F">
          <w:rPr>
            <w:rStyle w:val="Hiperpovezava"/>
            <w:rFonts w:ascii="Tahoma" w:hAnsi="Tahoma" w:cs="Tahoma"/>
            <w:sz w:val="22"/>
          </w:rPr>
          <w:t>https://www.jhl.si/javna-narocila-iz-podjeti</w:t>
        </w:r>
      </w:hyperlink>
      <w:r w:rsidR="000C0F04">
        <w:rPr>
          <w:rFonts w:ascii="Tahoma" w:hAnsi="Tahoma" w:cs="Tahoma"/>
          <w:color w:val="0070C0"/>
          <w:sz w:val="22"/>
        </w:rPr>
        <w:t>)</w:t>
      </w:r>
      <w:r>
        <w:rPr>
          <w:rFonts w:ascii="Tahoma" w:hAnsi="Tahoma" w:cs="Tahoma"/>
          <w:color w:val="0070C0"/>
          <w:sz w:val="22"/>
        </w:rPr>
        <w:t>.</w:t>
      </w:r>
      <w:r w:rsidR="000C0F04">
        <w:rPr>
          <w:rFonts w:ascii="Tahoma" w:hAnsi="Tahoma" w:cs="Tahoma"/>
          <w:color w:val="0070C0"/>
          <w:sz w:val="22"/>
        </w:rPr>
        <w:t xml:space="preserve"> Pri tem moramo opozoriti, da raznih slik, tabel pri pošiljanju odgovorov na postavljena vprašanja, ne moremo objaviti na Portalu javnih naročil, so pa vsa Pojasnila v </w:t>
      </w:r>
      <w:proofErr w:type="spellStart"/>
      <w:r w:rsidR="000C0F04">
        <w:rPr>
          <w:rFonts w:ascii="Tahoma" w:hAnsi="Tahoma" w:cs="Tahoma"/>
          <w:color w:val="0070C0"/>
          <w:sz w:val="22"/>
        </w:rPr>
        <w:t>word</w:t>
      </w:r>
      <w:proofErr w:type="spellEnd"/>
      <w:r w:rsidR="000C0F04">
        <w:rPr>
          <w:rFonts w:ascii="Tahoma" w:hAnsi="Tahoma" w:cs="Tahoma"/>
          <w:color w:val="0070C0"/>
          <w:sz w:val="22"/>
        </w:rPr>
        <w:t xml:space="preserve"> datoteki objavljena na zgoraj omenjenih spletnih straneh, prav tako popravljeni celotni predračuni popisa blaga. Ne glede na napisano bo naročnik tekom dneva na Portalu javnih naročil z obrazcem »</w:t>
      </w:r>
      <w:r w:rsidR="000C0F04" w:rsidRPr="000C0F04">
        <w:rPr>
          <w:rFonts w:ascii="Tahoma" w:hAnsi="Tahoma" w:cs="Tahoma"/>
          <w:color w:val="0070C0"/>
          <w:sz w:val="22"/>
        </w:rPr>
        <w:t>Popravek (EU 14 - SL)</w:t>
      </w:r>
      <w:r w:rsidR="000C0F04">
        <w:rPr>
          <w:rFonts w:ascii="Tahoma" w:hAnsi="Tahoma" w:cs="Tahoma"/>
          <w:color w:val="0070C0"/>
          <w:sz w:val="22"/>
        </w:rPr>
        <w:t xml:space="preserve">« objavil </w:t>
      </w:r>
      <w:proofErr w:type="spellStart"/>
      <w:r w:rsidR="000C0F04">
        <w:rPr>
          <w:rFonts w:ascii="Tahoma" w:hAnsi="Tahoma" w:cs="Tahoma"/>
          <w:color w:val="0070C0"/>
          <w:sz w:val="22"/>
        </w:rPr>
        <w:t>zip</w:t>
      </w:r>
      <w:proofErr w:type="spellEnd"/>
      <w:r w:rsidR="000C0F04">
        <w:rPr>
          <w:rFonts w:ascii="Tahoma" w:hAnsi="Tahoma" w:cs="Tahoma"/>
          <w:color w:val="0070C0"/>
          <w:sz w:val="22"/>
        </w:rPr>
        <w:t xml:space="preserve">. dokument v kateri bodo objavljena vsa Pojasnila v </w:t>
      </w:r>
      <w:proofErr w:type="spellStart"/>
      <w:r w:rsidR="000C0F04">
        <w:rPr>
          <w:rFonts w:ascii="Tahoma" w:hAnsi="Tahoma" w:cs="Tahoma"/>
          <w:color w:val="0070C0"/>
          <w:sz w:val="22"/>
        </w:rPr>
        <w:t>word</w:t>
      </w:r>
      <w:proofErr w:type="spellEnd"/>
      <w:r w:rsidR="000C0F04">
        <w:rPr>
          <w:rFonts w:ascii="Tahoma" w:hAnsi="Tahoma" w:cs="Tahoma"/>
          <w:color w:val="0070C0"/>
          <w:sz w:val="22"/>
        </w:rPr>
        <w:t xml:space="preserve"> datoteki in zadnji celotni predračun popisa blaga z dne 7.7.2022.</w:t>
      </w:r>
    </w:p>
    <w:p w14:paraId="39C3B746" w14:textId="77777777" w:rsidR="000C38D0" w:rsidRDefault="000C38D0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1509D48" w14:textId="1CE56587" w:rsidR="00935BCA" w:rsidRDefault="00935BCA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D7F4A">
        <w:rPr>
          <w:rFonts w:ascii="Tahoma" w:hAnsi="Tahoma" w:cs="Tahoma"/>
          <w:b/>
          <w:sz w:val="22"/>
        </w:rPr>
        <w:t xml:space="preserve">Ponudnike naprošamo, da pri pripravi ponudbe upoštevate popravljen </w:t>
      </w:r>
      <w:r w:rsidR="000C0F04">
        <w:rPr>
          <w:rFonts w:ascii="Tahoma" w:hAnsi="Tahoma" w:cs="Tahoma"/>
          <w:b/>
          <w:sz w:val="22"/>
        </w:rPr>
        <w:t xml:space="preserve">celotni predračun </w:t>
      </w:r>
      <w:r w:rsidRPr="005D7F4A">
        <w:rPr>
          <w:rFonts w:ascii="Tahoma" w:hAnsi="Tahoma" w:cs="Tahoma"/>
          <w:b/>
          <w:sz w:val="22"/>
        </w:rPr>
        <w:t>popis</w:t>
      </w:r>
      <w:r w:rsidR="000C0F04">
        <w:rPr>
          <w:rFonts w:ascii="Tahoma" w:hAnsi="Tahoma" w:cs="Tahoma"/>
          <w:b/>
          <w:sz w:val="22"/>
        </w:rPr>
        <w:t>a</w:t>
      </w:r>
      <w:r w:rsidRPr="005D7F4A">
        <w:rPr>
          <w:rFonts w:ascii="Tahoma" w:hAnsi="Tahoma" w:cs="Tahoma"/>
          <w:b/>
          <w:sz w:val="22"/>
        </w:rPr>
        <w:t xml:space="preserve"> blaga z</w:t>
      </w:r>
      <w:r>
        <w:rPr>
          <w:rFonts w:ascii="Tahoma" w:hAnsi="Tahoma" w:cs="Tahoma"/>
          <w:b/>
          <w:sz w:val="22"/>
        </w:rPr>
        <w:t xml:space="preserve"> dne </w:t>
      </w:r>
      <w:r w:rsidR="000C38D0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 xml:space="preserve">. </w:t>
      </w:r>
      <w:r w:rsidR="002D45A9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>. 202</w:t>
      </w:r>
      <w:r w:rsidR="002D45A9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b/>
          <w:sz w:val="22"/>
        </w:rPr>
        <w:t>, v katerem so navedeni vsi popravki, ki se ga-ustrezno izpolnjenega priloži k ponudbi.</w:t>
      </w:r>
    </w:p>
    <w:p w14:paraId="042322BE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77777777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objavljeni odgovori niso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3D7689CF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873359">
        <w:rPr>
          <w:rFonts w:ascii="Tahoma" w:hAnsi="Tahoma" w:cs="Tahoma"/>
          <w:i/>
          <w:sz w:val="22"/>
        </w:rPr>
        <w:t>7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2D45A9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 xml:space="preserve">. 2022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bookmarkEnd w:id="0"/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4EB8A79A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0C0F04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C0F04"/>
    <w:rsid w:val="000C38D0"/>
    <w:rsid w:val="000F1EB6"/>
    <w:rsid w:val="000F281E"/>
    <w:rsid w:val="00117BC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314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B1B90"/>
    <w:rsid w:val="007B643D"/>
    <w:rsid w:val="007B70C5"/>
    <w:rsid w:val="007C0979"/>
    <w:rsid w:val="007C3545"/>
    <w:rsid w:val="007D4757"/>
    <w:rsid w:val="0080235D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359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D06F1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5DE1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etika.si/javna-naroc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hl.si/javna-narocila-iz-podjet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FD9C-E0A6-477E-A090-156AFF2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2020-01-08T11:11:00Z</cp:lastPrinted>
  <dcterms:created xsi:type="dcterms:W3CDTF">2022-07-07T06:53:00Z</dcterms:created>
  <dcterms:modified xsi:type="dcterms:W3CDTF">2022-07-07T07:24:00Z</dcterms:modified>
</cp:coreProperties>
</file>