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43C41266" w:rsidR="008F6B1D" w:rsidRPr="00367648" w:rsidRDefault="008F6B1D" w:rsidP="00EC1AF9">
      <w:pPr>
        <w:keepNext/>
        <w:keepLines/>
        <w:spacing w:after="0" w:line="240" w:lineRule="auto"/>
        <w:jc w:val="both"/>
        <w:rPr>
          <w:rFonts w:ascii="Tahoma" w:hAnsi="Tahoma" w:cs="Tahoma"/>
        </w:rPr>
      </w:pPr>
      <w:r w:rsidRPr="00367648">
        <w:rPr>
          <w:rFonts w:ascii="Tahoma" w:hAnsi="Tahoma" w:cs="Tahoma"/>
        </w:rPr>
        <w:t xml:space="preserve">Datum: </w:t>
      </w:r>
      <w:r w:rsidR="00E820DF">
        <w:rPr>
          <w:rFonts w:ascii="Tahoma" w:hAnsi="Tahoma" w:cs="Tahoma"/>
        </w:rPr>
        <w:t>20</w:t>
      </w:r>
      <w:r w:rsidR="00E61ADF">
        <w:rPr>
          <w:rFonts w:ascii="Tahoma" w:hAnsi="Tahoma" w:cs="Tahoma"/>
        </w:rPr>
        <w:t xml:space="preserve">. </w:t>
      </w:r>
      <w:r w:rsidR="00E820DF">
        <w:rPr>
          <w:rFonts w:ascii="Tahoma" w:hAnsi="Tahoma" w:cs="Tahoma"/>
        </w:rPr>
        <w:t>6</w:t>
      </w:r>
      <w:r w:rsidR="00410EE6">
        <w:rPr>
          <w:rFonts w:ascii="Tahoma" w:hAnsi="Tahoma" w:cs="Tahoma"/>
        </w:rPr>
        <w:t>.</w:t>
      </w:r>
      <w:r w:rsidR="005F6484" w:rsidRPr="00367648">
        <w:rPr>
          <w:rFonts w:ascii="Tahoma" w:hAnsi="Tahoma" w:cs="Tahoma"/>
        </w:rPr>
        <w:t xml:space="preserve"> </w:t>
      </w:r>
      <w:r w:rsidRPr="00367648">
        <w:rPr>
          <w:rFonts w:ascii="Tahoma" w:hAnsi="Tahoma" w:cs="Tahoma"/>
        </w:rPr>
        <w:t>20</w:t>
      </w:r>
      <w:r w:rsidR="00613D1F">
        <w:rPr>
          <w:rFonts w:ascii="Tahoma" w:hAnsi="Tahoma" w:cs="Tahoma"/>
        </w:rPr>
        <w:t>2</w:t>
      </w:r>
      <w:r w:rsidR="00E07702">
        <w:rPr>
          <w:rFonts w:ascii="Tahoma" w:hAnsi="Tahoma" w:cs="Tahoma"/>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346E375E"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7C16CF">
        <w:rPr>
          <w:rFonts w:ascii="Tahoma" w:hAnsi="Tahoma" w:cs="Tahoma"/>
          <w:sz w:val="22"/>
          <w:szCs w:val="22"/>
        </w:rPr>
        <w:t>1</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E07702" w:rsidRPr="00E07702">
        <w:rPr>
          <w:rFonts w:ascii="Tahoma" w:hAnsi="Tahoma" w:cs="Tahoma"/>
          <w:b/>
          <w:sz w:val="22"/>
          <w:szCs w:val="22"/>
        </w:rPr>
        <w:t>JPE-SOP-</w:t>
      </w:r>
      <w:r w:rsidR="00E820DF">
        <w:rPr>
          <w:rFonts w:ascii="Tahoma" w:hAnsi="Tahoma" w:cs="Tahoma"/>
          <w:b/>
          <w:sz w:val="22"/>
          <w:szCs w:val="22"/>
        </w:rPr>
        <w:t>229</w:t>
      </w:r>
      <w:r w:rsidR="00E07702" w:rsidRPr="00E07702">
        <w:rPr>
          <w:rFonts w:ascii="Tahoma" w:hAnsi="Tahoma" w:cs="Tahoma"/>
          <w:b/>
          <w:sz w:val="22"/>
          <w:szCs w:val="22"/>
        </w:rPr>
        <w:t xml:space="preserve">/24 - </w:t>
      </w:r>
      <w:r w:rsidR="00E820DF" w:rsidRPr="00E820DF">
        <w:rPr>
          <w:rFonts w:ascii="Tahoma" w:hAnsi="Tahoma" w:cs="Tahoma"/>
          <w:b/>
          <w:sz w:val="22"/>
          <w:szCs w:val="22"/>
        </w:rPr>
        <w:t>Dobava materiala za izvajanje strojnih del na plinovodnem omrežju naročnika</w:t>
      </w:r>
      <w:r w:rsidR="00E07702" w:rsidRPr="00E07702">
        <w:rPr>
          <w:rFonts w:ascii="Tahoma" w:hAnsi="Tahoma" w:cs="Tahoma"/>
          <w:b/>
          <w:sz w:val="22"/>
          <w:szCs w:val="22"/>
        </w:rPr>
        <w:t xml:space="preserve"> po sklopih</w:t>
      </w:r>
    </w:p>
    <w:p w14:paraId="1FF06E1B" w14:textId="16EA4531" w:rsidR="00C841AA" w:rsidRDefault="00C841AA" w:rsidP="00EC1AF9">
      <w:pPr>
        <w:keepNext/>
        <w:keepLines/>
        <w:spacing w:after="0" w:line="240" w:lineRule="auto"/>
        <w:jc w:val="both"/>
        <w:rPr>
          <w:rFonts w:ascii="Tahoma" w:hAnsi="Tahoma" w:cs="Tahoma"/>
          <w:sz w:val="22"/>
        </w:rPr>
      </w:pPr>
    </w:p>
    <w:p w14:paraId="65BCBA27" w14:textId="0BECD358" w:rsidR="00C841AA" w:rsidRPr="005D7F4A" w:rsidRDefault="00C841AA" w:rsidP="00EC1AF9">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E820DF">
        <w:rPr>
          <w:rFonts w:ascii="Tahoma" w:eastAsiaTheme="minorHAnsi" w:hAnsi="Tahoma" w:cs="Tahoma"/>
          <w:b/>
          <w:sz w:val="22"/>
        </w:rPr>
        <w:t>1</w:t>
      </w:r>
      <w:r w:rsidR="00E07702">
        <w:rPr>
          <w:rFonts w:ascii="Tahoma" w:eastAsiaTheme="minorHAnsi" w:hAnsi="Tahoma" w:cs="Tahoma"/>
          <w:b/>
          <w:sz w:val="22"/>
        </w:rPr>
        <w:t>7</w:t>
      </w:r>
      <w:r w:rsidR="00EE2EA5">
        <w:rPr>
          <w:rFonts w:ascii="Tahoma" w:eastAsiaTheme="minorHAnsi" w:hAnsi="Tahoma" w:cs="Tahoma"/>
          <w:b/>
          <w:sz w:val="22"/>
        </w:rPr>
        <w:t xml:space="preserve">. </w:t>
      </w:r>
      <w:r w:rsidR="00E820DF">
        <w:rPr>
          <w:rFonts w:ascii="Tahoma" w:eastAsiaTheme="minorHAnsi" w:hAnsi="Tahoma" w:cs="Tahoma"/>
          <w:b/>
          <w:sz w:val="22"/>
        </w:rPr>
        <w:t>6</w:t>
      </w:r>
      <w:r w:rsidR="007C16CF">
        <w:rPr>
          <w:rFonts w:ascii="Tahoma" w:eastAsiaTheme="minorHAnsi" w:hAnsi="Tahoma" w:cs="Tahoma"/>
          <w:b/>
          <w:sz w:val="22"/>
        </w:rPr>
        <w:t>.</w:t>
      </w:r>
      <w:r w:rsidRPr="005D7F4A">
        <w:rPr>
          <w:rFonts w:ascii="Tahoma" w:eastAsiaTheme="minorHAnsi" w:hAnsi="Tahoma" w:cs="Tahoma"/>
          <w:b/>
          <w:sz w:val="22"/>
        </w:rPr>
        <w:t xml:space="preserve"> 20</w:t>
      </w:r>
      <w:r w:rsidR="00613D1F" w:rsidRPr="005D7F4A">
        <w:rPr>
          <w:rFonts w:ascii="Tahoma" w:eastAsiaTheme="minorHAnsi" w:hAnsi="Tahoma" w:cs="Tahoma"/>
          <w:b/>
          <w:sz w:val="22"/>
        </w:rPr>
        <w:t>2</w:t>
      </w:r>
      <w:r w:rsidR="00E07702">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19834825" w14:textId="7E0DAB46" w:rsidR="00EB1B24" w:rsidRPr="00EB1B24" w:rsidRDefault="00C841AA" w:rsidP="00E07702">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E820DF" w:rsidRPr="00E820DF">
        <w:rPr>
          <w:rFonts w:ascii="Tahoma" w:eastAsia="@Arial Unicode MS" w:hAnsi="Tahoma" w:cs="Tahoma"/>
          <w:sz w:val="22"/>
        </w:rPr>
        <w:t xml:space="preserve">Spoštovani, V tehničnih navodilih za 10. sklop navajate, da morajo biti vsa sedla za cevi do DN200 sestavljena iz dveh polovic, kjer mora imeti zgornja polovica sedla </w:t>
      </w:r>
      <w:proofErr w:type="spellStart"/>
      <w:r w:rsidR="00E820DF" w:rsidRPr="00E820DF">
        <w:rPr>
          <w:rFonts w:ascii="Tahoma" w:eastAsia="@Arial Unicode MS" w:hAnsi="Tahoma" w:cs="Tahoma"/>
          <w:sz w:val="22"/>
        </w:rPr>
        <w:t>elektrofuzijski</w:t>
      </w:r>
      <w:proofErr w:type="spellEnd"/>
      <w:r w:rsidR="00E820DF" w:rsidRPr="00E820DF">
        <w:rPr>
          <w:rFonts w:ascii="Tahoma" w:eastAsia="@Arial Unicode MS" w:hAnsi="Tahoma" w:cs="Tahoma"/>
          <w:sz w:val="22"/>
        </w:rPr>
        <w:t xml:space="preserve"> odcep z integriranim cevnim držalom, v katerega lahko vstavimo različne elemente. Odcep mora dopuščati 360˚ rotacijo katere koli vstavljene komponente. Ta opis eksplicitno opisuje tehnično rešitev le enega konkretnega proizvajalca </w:t>
      </w:r>
      <w:proofErr w:type="spellStart"/>
      <w:r w:rsidR="00E820DF" w:rsidRPr="00E820DF">
        <w:rPr>
          <w:rFonts w:ascii="Tahoma" w:eastAsia="@Arial Unicode MS" w:hAnsi="Tahoma" w:cs="Tahoma"/>
          <w:sz w:val="22"/>
        </w:rPr>
        <w:t>elektrofuzijskih</w:t>
      </w:r>
      <w:proofErr w:type="spellEnd"/>
      <w:r w:rsidR="00E820DF" w:rsidRPr="00E820DF">
        <w:rPr>
          <w:rFonts w:ascii="Tahoma" w:eastAsia="@Arial Unicode MS" w:hAnsi="Tahoma" w:cs="Tahoma"/>
          <w:sz w:val="22"/>
        </w:rPr>
        <w:t xml:space="preserve"> </w:t>
      </w:r>
      <w:proofErr w:type="spellStart"/>
      <w:r w:rsidR="00E820DF" w:rsidRPr="00E820DF">
        <w:rPr>
          <w:rFonts w:ascii="Tahoma" w:eastAsia="@Arial Unicode MS" w:hAnsi="Tahoma" w:cs="Tahoma"/>
          <w:sz w:val="22"/>
        </w:rPr>
        <w:t>fitingov</w:t>
      </w:r>
      <w:proofErr w:type="spellEnd"/>
      <w:r w:rsidR="00E820DF" w:rsidRPr="00E820DF">
        <w:rPr>
          <w:rFonts w:ascii="Tahoma" w:eastAsia="@Arial Unicode MS" w:hAnsi="Tahoma" w:cs="Tahoma"/>
          <w:sz w:val="22"/>
        </w:rPr>
        <w:t xml:space="preserve"> in obenem izloča vse ostale konkurenčne proizvajalce, kljub temu, da ostali proizvajalci s svojimi nekoliko drugačnimi tehničnimi rešitvami, omogočajo pri uporabi enakovreden namen in rezultat posameznih elementov, ki jih navajate v svoji tabeli produktov v 10. sklopu. Glede na to, da ZJN-3 v 68. členu (točka 6) jasno prepoveduje takšne opise, vas pozivamo da spremenite tehnični opis in s tem omogočite ostalim ponudnikom da ponudijo enakovredne konkurenčne proizvode. Navajamo zapis iz zakona: 68. člen (tehnične specifikacije) (6) Če tega ne upravičuje predmet javnega naročila, v tehničnih specifikacijah ne smejo biti navedeni določena izdelava ali izvor ali določen postopek, značilen za proizvode ali storitve določenega gospodarskega subjekta, ali blagovne znamke, patenti, tipi ali določeno poreklo ali proizvodnja, ki dajejo prednost nekaterim podjetjem ali proizvodom ali jih izločajo. Prav tako v istem opisu za 10. sklop navajate, da morajo imeti </w:t>
      </w:r>
      <w:proofErr w:type="spellStart"/>
      <w:r w:rsidR="00E820DF" w:rsidRPr="00E820DF">
        <w:rPr>
          <w:rFonts w:ascii="Tahoma" w:eastAsia="@Arial Unicode MS" w:hAnsi="Tahoma" w:cs="Tahoma"/>
          <w:sz w:val="22"/>
        </w:rPr>
        <w:t>elektrofuzijski</w:t>
      </w:r>
      <w:proofErr w:type="spellEnd"/>
      <w:r w:rsidR="00E820DF" w:rsidRPr="00E820DF">
        <w:rPr>
          <w:rFonts w:ascii="Tahoma" w:eastAsia="@Arial Unicode MS" w:hAnsi="Tahoma" w:cs="Tahoma"/>
          <w:sz w:val="22"/>
        </w:rPr>
        <w:t xml:space="preserve"> elementi do premera PE63, integrirano cevno pritrditev, kar je zopet natančen opis tehnične rešitve le enega konkretnega proizvajalca (istega kot velja za opis zgoraj), obenem pa ostali konkurenčni proizvajalci z nekoliko drugačnimi tehničnimi rešitvami, a tehnično in kvalitativno enakovrednimi, glede na trenutni zapis ne morejo sodelovati na razpisu, kar je zopet v nasprotju z 68. členom (točka 6) ZJN-3. Predlagamo, da v zapis tehničnih navodil za 10.sklop, ob navedenih opisih dodate še ''ali tehnično enakovredno'', in s tem omogočite konkurenčnim proizvajalcem sodelovanje na razpisu.</w:t>
      </w:r>
      <w:r w:rsidR="00EB1B24" w:rsidRPr="00EB1B24">
        <w:rPr>
          <w:rFonts w:ascii="Tahoma" w:eastAsia="@Arial Unicode MS" w:hAnsi="Tahoma" w:cs="Tahoma"/>
          <w:sz w:val="22"/>
        </w:rPr>
        <w:t>«</w:t>
      </w:r>
    </w:p>
    <w:p w14:paraId="5C736AF6" w14:textId="77777777" w:rsidR="00EB1B24" w:rsidRPr="00EB1B24" w:rsidRDefault="00EB1B24" w:rsidP="00EC1AF9">
      <w:pPr>
        <w:keepNext/>
        <w:keepLines/>
        <w:spacing w:after="0" w:line="240" w:lineRule="auto"/>
        <w:jc w:val="both"/>
        <w:rPr>
          <w:rFonts w:ascii="Tahoma" w:eastAsia="@Arial Unicode MS" w:hAnsi="Tahoma" w:cs="Tahoma"/>
          <w:sz w:val="22"/>
        </w:rPr>
      </w:pPr>
    </w:p>
    <w:p w14:paraId="52DB500F" w14:textId="1CF1210A" w:rsidR="00EB1B24" w:rsidRDefault="00EB1B24" w:rsidP="00EC1AF9">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C77FDCE" w14:textId="4C807C2A" w:rsidR="00E820DF" w:rsidRPr="00487EE9" w:rsidRDefault="00E820DF" w:rsidP="00487EE9">
      <w:pPr>
        <w:keepNext/>
        <w:keepLines/>
        <w:spacing w:after="0" w:line="240" w:lineRule="auto"/>
        <w:jc w:val="both"/>
        <w:rPr>
          <w:rFonts w:ascii="Tahoma" w:eastAsia="@Arial Unicode MS" w:hAnsi="Tahoma" w:cs="Tahoma"/>
          <w:sz w:val="22"/>
        </w:rPr>
      </w:pPr>
      <w:r w:rsidRPr="00487EE9">
        <w:rPr>
          <w:rFonts w:ascii="Tahoma" w:eastAsia="@Arial Unicode MS" w:hAnsi="Tahoma" w:cs="Tahoma"/>
          <w:sz w:val="22"/>
        </w:rPr>
        <w:t>Izkušnje s terena na</w:t>
      </w:r>
      <w:r w:rsidR="00487EE9">
        <w:rPr>
          <w:rFonts w:ascii="Tahoma" w:eastAsia="@Arial Unicode MS" w:hAnsi="Tahoma" w:cs="Tahoma"/>
          <w:sz w:val="22"/>
        </w:rPr>
        <w:t>ročniku</w:t>
      </w:r>
      <w:r w:rsidRPr="00487EE9">
        <w:rPr>
          <w:rFonts w:ascii="Tahoma" w:eastAsia="@Arial Unicode MS" w:hAnsi="Tahoma" w:cs="Tahoma"/>
          <w:sz w:val="22"/>
        </w:rPr>
        <w:t xml:space="preserve"> jasno dokazujejo, da so tehnične </w:t>
      </w:r>
      <w:r w:rsidR="00487EE9">
        <w:rPr>
          <w:rFonts w:ascii="Tahoma" w:eastAsia="@Arial Unicode MS" w:hAnsi="Tahoma" w:cs="Tahoma"/>
          <w:sz w:val="22"/>
        </w:rPr>
        <w:t>specifikacije</w:t>
      </w:r>
      <w:r w:rsidRPr="00487EE9">
        <w:rPr>
          <w:rFonts w:ascii="Tahoma" w:eastAsia="@Arial Unicode MS" w:hAnsi="Tahoma" w:cs="Tahoma"/>
          <w:sz w:val="22"/>
        </w:rPr>
        <w:t xml:space="preserve">, na katere se sklicuje v </w:t>
      </w:r>
      <w:r w:rsidR="00487EE9">
        <w:rPr>
          <w:rFonts w:ascii="Tahoma" w:eastAsia="@Arial Unicode MS" w:hAnsi="Tahoma" w:cs="Tahoma"/>
          <w:sz w:val="22"/>
        </w:rPr>
        <w:t>razpisni dokumentaciji,</w:t>
      </w:r>
      <w:r w:rsidRPr="00487EE9">
        <w:rPr>
          <w:rFonts w:ascii="Tahoma" w:eastAsia="@Arial Unicode MS" w:hAnsi="Tahoma" w:cs="Tahoma"/>
          <w:sz w:val="22"/>
        </w:rPr>
        <w:t xml:space="preserve"> pripomogle k večji zanesljivosti gradnje priključnih plinovodov. Sedlo z vrtljivim 360° odcepom omogoča izvedbo priključka direktno v željeni smeri, s tem se</w:t>
      </w:r>
      <w:r w:rsidR="00487EE9">
        <w:rPr>
          <w:rFonts w:ascii="Tahoma" w:eastAsia="@Arial Unicode MS" w:hAnsi="Tahoma" w:cs="Tahoma"/>
          <w:sz w:val="22"/>
        </w:rPr>
        <w:t xml:space="preserve"> naročnik</w:t>
      </w:r>
      <w:r w:rsidRPr="00487EE9">
        <w:rPr>
          <w:rFonts w:ascii="Tahoma" w:eastAsia="@Arial Unicode MS" w:hAnsi="Tahoma" w:cs="Tahoma"/>
          <w:sz w:val="22"/>
        </w:rPr>
        <w:t xml:space="preserve"> izogne varjenju dodatnih EF lokov, s čimer zmanjšamo število elementov na samem priključku in s tem možnost napak</w:t>
      </w:r>
      <w:r w:rsidR="00487EE9">
        <w:rPr>
          <w:rFonts w:ascii="Tahoma" w:eastAsia="@Arial Unicode MS" w:hAnsi="Tahoma" w:cs="Tahoma"/>
          <w:sz w:val="22"/>
        </w:rPr>
        <w:t xml:space="preserve"> ter dodatnih stroškov, ki bi nastali ob popravilu plinovodov</w:t>
      </w:r>
      <w:r w:rsidRPr="00487EE9">
        <w:rPr>
          <w:rFonts w:ascii="Tahoma" w:eastAsia="@Arial Unicode MS" w:hAnsi="Tahoma" w:cs="Tahoma"/>
          <w:sz w:val="22"/>
        </w:rPr>
        <w:t>.</w:t>
      </w:r>
    </w:p>
    <w:p w14:paraId="3BC351D5" w14:textId="77777777" w:rsidR="00487EE9" w:rsidRDefault="00487EE9" w:rsidP="00E820DF">
      <w:pPr>
        <w:keepNext/>
        <w:keepLines/>
        <w:spacing w:after="0" w:line="240" w:lineRule="auto"/>
        <w:jc w:val="both"/>
        <w:rPr>
          <w:rFonts w:ascii="Tahoma" w:eastAsia="@Arial Unicode MS" w:hAnsi="Tahoma" w:cs="Tahoma"/>
          <w:sz w:val="22"/>
        </w:rPr>
      </w:pPr>
    </w:p>
    <w:p w14:paraId="25CF10CD" w14:textId="3D7E9267" w:rsidR="005B32BA" w:rsidRPr="00487EE9" w:rsidRDefault="00E820DF" w:rsidP="00E820DF">
      <w:pPr>
        <w:keepNext/>
        <w:keepLines/>
        <w:spacing w:after="0" w:line="240" w:lineRule="auto"/>
        <w:jc w:val="both"/>
        <w:rPr>
          <w:rFonts w:ascii="Tahoma" w:eastAsia="@Arial Unicode MS" w:hAnsi="Tahoma" w:cs="Tahoma"/>
          <w:sz w:val="22"/>
        </w:rPr>
      </w:pPr>
      <w:bookmarkStart w:id="0" w:name="_GoBack"/>
      <w:r w:rsidRPr="00487EE9">
        <w:rPr>
          <w:rFonts w:ascii="Tahoma" w:eastAsia="@Arial Unicode MS" w:hAnsi="Tahoma" w:cs="Tahoma"/>
          <w:sz w:val="22"/>
        </w:rPr>
        <w:t xml:space="preserve">Integrirane cevne pritrditve na EF elementih pa omogočajo delno fiksiranje </w:t>
      </w:r>
      <w:proofErr w:type="spellStart"/>
      <w:r w:rsidRPr="00487EE9">
        <w:rPr>
          <w:rFonts w:ascii="Tahoma" w:eastAsia="@Arial Unicode MS" w:hAnsi="Tahoma" w:cs="Tahoma"/>
          <w:sz w:val="22"/>
        </w:rPr>
        <w:t>PE</w:t>
      </w:r>
      <w:proofErr w:type="spellEnd"/>
      <w:r w:rsidRPr="00487EE9">
        <w:rPr>
          <w:rFonts w:ascii="Tahoma" w:eastAsia="@Arial Unicode MS" w:hAnsi="Tahoma" w:cs="Tahoma"/>
          <w:sz w:val="22"/>
        </w:rPr>
        <w:t xml:space="preserve"> cevi med samim postopkom EF varjenja</w:t>
      </w:r>
      <w:bookmarkEnd w:id="0"/>
      <w:r w:rsidRPr="00487EE9">
        <w:rPr>
          <w:rFonts w:ascii="Tahoma" w:eastAsia="@Arial Unicode MS" w:hAnsi="Tahoma" w:cs="Tahoma"/>
          <w:sz w:val="22"/>
        </w:rPr>
        <w:t>. Izkušnje s terena nam tudi pri tej tehnični rešitvi dokazujejo, da se s tem izboljša zanesljivost gradnje priključnih plinovodov.</w:t>
      </w:r>
    </w:p>
    <w:p w14:paraId="358F97A1" w14:textId="77777777" w:rsidR="00487EE9" w:rsidRDefault="00487EE9" w:rsidP="00487EE9">
      <w:pPr>
        <w:keepNext/>
        <w:keepLines/>
        <w:spacing w:after="0" w:line="240" w:lineRule="auto"/>
        <w:jc w:val="both"/>
        <w:rPr>
          <w:rFonts w:ascii="Tahoma" w:eastAsia="@Arial Unicode MS" w:hAnsi="Tahoma" w:cs="Tahoma"/>
          <w:sz w:val="22"/>
        </w:rPr>
      </w:pPr>
    </w:p>
    <w:p w14:paraId="24CEF135" w14:textId="13A17EF1" w:rsidR="00487EE9" w:rsidRDefault="00487EE9" w:rsidP="00487EE9">
      <w:pPr>
        <w:keepNext/>
        <w:keepLines/>
        <w:spacing w:after="0" w:line="240" w:lineRule="auto"/>
        <w:jc w:val="both"/>
        <w:rPr>
          <w:rFonts w:ascii="Tahoma" w:eastAsia="@Arial Unicode MS" w:hAnsi="Tahoma" w:cs="Tahoma"/>
          <w:sz w:val="22"/>
        </w:rPr>
      </w:pPr>
      <w:r>
        <w:rPr>
          <w:rFonts w:ascii="Tahoma" w:eastAsia="@Arial Unicode MS" w:hAnsi="Tahoma" w:cs="Tahoma"/>
          <w:sz w:val="22"/>
        </w:rPr>
        <w:lastRenderedPageBreak/>
        <w:t>Naročnik dopušča enakovreden konkurenčni proizvod, ob upoštevanju, da je s tem izpolnjen pogoj naveden v razpisni dokumentaciji, v točki 2.9. Tehnična specifikacija naročnika.</w:t>
      </w:r>
    </w:p>
    <w:p w14:paraId="3119237B" w14:textId="77777777" w:rsidR="00E820DF" w:rsidRPr="005E46E2" w:rsidRDefault="00E820DF" w:rsidP="00E820DF">
      <w:pPr>
        <w:keepNext/>
        <w:keepLines/>
        <w:spacing w:after="0" w:line="240" w:lineRule="auto"/>
        <w:jc w:val="both"/>
        <w:rPr>
          <w:rFonts w:ascii="Tahoma" w:hAnsi="Tahoma" w:cs="Tahoma"/>
          <w:sz w:val="22"/>
        </w:rPr>
      </w:pPr>
    </w:p>
    <w:p w14:paraId="52F886B9" w14:textId="16AE7223"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 odgovor ni razlog za podaljšanje 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610630F5"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E820DF">
        <w:rPr>
          <w:rFonts w:ascii="Tahoma" w:hAnsi="Tahoma" w:cs="Tahoma"/>
          <w:i/>
          <w:sz w:val="22"/>
        </w:rPr>
        <w:t>20</w:t>
      </w:r>
      <w:r w:rsidRPr="00F9448B">
        <w:rPr>
          <w:rFonts w:ascii="Tahoma" w:hAnsi="Tahoma" w:cs="Tahoma"/>
          <w:i/>
          <w:sz w:val="22"/>
        </w:rPr>
        <w:t>.</w:t>
      </w:r>
      <w:r w:rsidRPr="00F9448B">
        <w:rPr>
          <w:rFonts w:ascii="Tahoma" w:hAnsi="Tahoma" w:cs="Tahoma"/>
          <w:i/>
          <w:color w:val="000000"/>
          <w:sz w:val="22"/>
        </w:rPr>
        <w:t xml:space="preserve"> </w:t>
      </w:r>
      <w:r w:rsidR="00E820DF">
        <w:rPr>
          <w:rFonts w:ascii="Tahoma" w:hAnsi="Tahoma" w:cs="Tahoma"/>
          <w:i/>
          <w:color w:val="000000"/>
          <w:sz w:val="22"/>
        </w:rPr>
        <w:t>6</w:t>
      </w:r>
      <w:r w:rsidRPr="00F9448B">
        <w:rPr>
          <w:rFonts w:ascii="Tahoma" w:hAnsi="Tahoma" w:cs="Tahoma"/>
          <w:i/>
          <w:color w:val="000000"/>
          <w:sz w:val="22"/>
        </w:rPr>
        <w:t>. 202</w:t>
      </w:r>
      <w:r w:rsidR="00E07702">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1C9C24E7" w14:textId="5BDDE80C" w:rsidR="00621825" w:rsidRDefault="00962B78" w:rsidP="00EC1AF9">
      <w:pPr>
        <w:keepNext/>
        <w:keepLines/>
        <w:spacing w:after="0" w:line="240" w:lineRule="auto"/>
        <w:rPr>
          <w:rFonts w:ascii="Tahoma" w:hAnsi="Tahoma" w:cs="Tahoma"/>
        </w:rPr>
      </w:pPr>
      <w:r w:rsidRPr="00367648">
        <w:rPr>
          <w:rFonts w:ascii="Tahoma" w:hAnsi="Tahoma" w:cs="Tahoma"/>
        </w:rPr>
        <w:t>Lepo pozdravljeni!</w:t>
      </w: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5F042FA7"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487EE9">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2C46D5"/>
    <w:multiLevelType w:val="hybridMultilevel"/>
    <w:tmpl w:val="8D325D78"/>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1"/>
  </w:num>
  <w:num w:numId="4">
    <w:abstractNumId w:val="6"/>
  </w:num>
  <w:num w:numId="5">
    <w:abstractNumId w:val="19"/>
  </w:num>
  <w:num w:numId="6">
    <w:abstractNumId w:val="18"/>
  </w:num>
  <w:num w:numId="7">
    <w:abstractNumId w:val="23"/>
  </w:num>
  <w:num w:numId="8">
    <w:abstractNumId w:val="15"/>
  </w:num>
  <w:num w:numId="9">
    <w:abstractNumId w:val="13"/>
  </w:num>
  <w:num w:numId="10">
    <w:abstractNumId w:val="22"/>
  </w:num>
  <w:num w:numId="11">
    <w:abstractNumId w:val="25"/>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4"/>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
  </w:num>
  <w:num w:numId="26">
    <w:abstractNumId w:val="27"/>
  </w:num>
  <w:num w:numId="27">
    <w:abstractNumId w:val="26"/>
  </w:num>
  <w:num w:numId="28">
    <w:abstractNumId w:val="20"/>
  </w:num>
  <w:num w:numId="29">
    <w:abstractNumId w:val="3"/>
  </w:num>
  <w:num w:numId="30">
    <w:abstractNumId w:val="12"/>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47FE2"/>
    <w:rsid w:val="00056F05"/>
    <w:rsid w:val="00064870"/>
    <w:rsid w:val="00070015"/>
    <w:rsid w:val="0007011A"/>
    <w:rsid w:val="000A2A96"/>
    <w:rsid w:val="000B05D4"/>
    <w:rsid w:val="000B0708"/>
    <w:rsid w:val="000B664B"/>
    <w:rsid w:val="000B791F"/>
    <w:rsid w:val="000B798F"/>
    <w:rsid w:val="000F1EB6"/>
    <w:rsid w:val="000F281E"/>
    <w:rsid w:val="00117BCA"/>
    <w:rsid w:val="00125E0A"/>
    <w:rsid w:val="0012681D"/>
    <w:rsid w:val="0013443D"/>
    <w:rsid w:val="00161083"/>
    <w:rsid w:val="00193410"/>
    <w:rsid w:val="001D0104"/>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83FCE"/>
    <w:rsid w:val="00487B4F"/>
    <w:rsid w:val="00487EE9"/>
    <w:rsid w:val="00497BCD"/>
    <w:rsid w:val="004A4DCF"/>
    <w:rsid w:val="004B1AA2"/>
    <w:rsid w:val="004E6437"/>
    <w:rsid w:val="004F42B1"/>
    <w:rsid w:val="004F7F9C"/>
    <w:rsid w:val="005240B4"/>
    <w:rsid w:val="00534920"/>
    <w:rsid w:val="0053502B"/>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4555F"/>
    <w:rsid w:val="00646285"/>
    <w:rsid w:val="00663B8C"/>
    <w:rsid w:val="006837A5"/>
    <w:rsid w:val="006966AB"/>
    <w:rsid w:val="006B1B83"/>
    <w:rsid w:val="006B6DE8"/>
    <w:rsid w:val="006D1173"/>
    <w:rsid w:val="006D1205"/>
    <w:rsid w:val="006D4FAD"/>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475C"/>
    <w:rsid w:val="00892C7A"/>
    <w:rsid w:val="00894734"/>
    <w:rsid w:val="008B314C"/>
    <w:rsid w:val="008B7578"/>
    <w:rsid w:val="008D0BDD"/>
    <w:rsid w:val="008D5995"/>
    <w:rsid w:val="008F6B1D"/>
    <w:rsid w:val="00924EC2"/>
    <w:rsid w:val="00925808"/>
    <w:rsid w:val="009312FF"/>
    <w:rsid w:val="00935BCA"/>
    <w:rsid w:val="00942690"/>
    <w:rsid w:val="00962B78"/>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07702"/>
    <w:rsid w:val="00E12778"/>
    <w:rsid w:val="00E30FE4"/>
    <w:rsid w:val="00E40A6C"/>
    <w:rsid w:val="00E41F5F"/>
    <w:rsid w:val="00E44CB9"/>
    <w:rsid w:val="00E55985"/>
    <w:rsid w:val="00E61ADF"/>
    <w:rsid w:val="00E6236D"/>
    <w:rsid w:val="00E66BBA"/>
    <w:rsid w:val="00E81E65"/>
    <w:rsid w:val="00E820DF"/>
    <w:rsid w:val="00E8315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paragraph" w:customStyle="1" w:styleId="lead">
    <w:name w:val="lead"/>
    <w:basedOn w:val="Navaden"/>
    <w:uiPriority w:val="99"/>
    <w:rsid w:val="00E820DF"/>
    <w:pPr>
      <w:spacing w:before="100" w:beforeAutospacing="1" w:after="100" w:afterAutospacing="1"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078939142">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BD9DE-0BC1-4CA7-9058-0D156FC2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535</Words>
  <Characters>3054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4</cp:revision>
  <cp:lastPrinted>2020-01-08T11:11:00Z</cp:lastPrinted>
  <dcterms:created xsi:type="dcterms:W3CDTF">2024-06-19T12:30:00Z</dcterms:created>
  <dcterms:modified xsi:type="dcterms:W3CDTF">2024-06-20T06:06:00Z</dcterms:modified>
</cp:coreProperties>
</file>