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C0" w:rsidRDefault="00FF0AC0"/>
    <w:tbl>
      <w:tblPr>
        <w:tblW w:w="9212" w:type="dxa"/>
        <w:tblLayout w:type="fixed"/>
        <w:tblCellMar>
          <w:left w:w="70" w:type="dxa"/>
          <w:right w:w="70" w:type="dxa"/>
        </w:tblCellMar>
        <w:tblLook w:val="0000" w:firstRow="0" w:lastRow="0" w:firstColumn="0" w:lastColumn="0" w:noHBand="0" w:noVBand="0"/>
      </w:tblPr>
      <w:tblGrid>
        <w:gridCol w:w="5882"/>
        <w:gridCol w:w="3330"/>
      </w:tblGrid>
      <w:tr w:rsidR="00A74284" w:rsidRPr="00C14D70" w:rsidTr="00B216C5">
        <w:trPr>
          <w:cantSplit/>
          <w:trHeight w:val="1981"/>
        </w:trPr>
        <w:tc>
          <w:tcPr>
            <w:tcW w:w="9212" w:type="dxa"/>
            <w:gridSpan w:val="2"/>
            <w:tcBorders>
              <w:bottom w:val="nil"/>
            </w:tcBorders>
          </w:tcPr>
          <w:p w:rsidR="00A74284" w:rsidRPr="00C14D70" w:rsidRDefault="00A74284" w:rsidP="00B216C5">
            <w:pPr>
              <w:keepNext/>
              <w:jc w:val="right"/>
            </w:pPr>
            <w:r>
              <w:rPr>
                <w:noProof/>
              </w:rPr>
              <w:drawing>
                <wp:inline distT="0" distB="0" distL="0" distR="0">
                  <wp:extent cx="2468245" cy="1351915"/>
                  <wp:effectExtent l="0" t="0" r="8255" b="635"/>
                  <wp:docPr id="1" name="Slika 1" descr="Dopis_2014_01_10_glava_splošni_enota-TE-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2014_01_10_glava_splošni_enota-TE-T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8245" cy="1351915"/>
                          </a:xfrm>
                          <a:prstGeom prst="rect">
                            <a:avLst/>
                          </a:prstGeom>
                          <a:noFill/>
                          <a:ln>
                            <a:noFill/>
                          </a:ln>
                        </pic:spPr>
                      </pic:pic>
                    </a:graphicData>
                  </a:graphic>
                </wp:inline>
              </w:drawing>
            </w:r>
          </w:p>
        </w:tc>
      </w:tr>
      <w:tr w:rsidR="00A74284" w:rsidRPr="00C14D70" w:rsidTr="00B216C5">
        <w:trPr>
          <w:cantSplit/>
          <w:trHeight w:hRule="exact" w:val="2182"/>
        </w:trPr>
        <w:tc>
          <w:tcPr>
            <w:tcW w:w="5882" w:type="dxa"/>
            <w:tcBorders>
              <w:bottom w:val="nil"/>
            </w:tcBorders>
          </w:tcPr>
          <w:p w:rsidR="00A74284" w:rsidRPr="00C14D70" w:rsidRDefault="00A74284" w:rsidP="00B216C5">
            <w:pPr>
              <w:keepNext/>
              <w:rPr>
                <w:rFonts w:ascii="Tahoma" w:hAnsi="Tahoma" w:cs="Tahoma"/>
                <w:sz w:val="24"/>
              </w:rPr>
            </w:pPr>
          </w:p>
        </w:tc>
        <w:tc>
          <w:tcPr>
            <w:tcW w:w="3330" w:type="dxa"/>
            <w:tcBorders>
              <w:bottom w:val="nil"/>
            </w:tcBorders>
          </w:tcPr>
          <w:p w:rsidR="00A74284" w:rsidRPr="00C14D70" w:rsidRDefault="00A74284" w:rsidP="00B216C5">
            <w:pPr>
              <w:keepNext/>
              <w:jc w:val="right"/>
            </w:pPr>
          </w:p>
        </w:tc>
      </w:tr>
      <w:tr w:rsidR="00A74284" w:rsidRPr="00C14D70" w:rsidTr="00B216C5">
        <w:trPr>
          <w:cantSplit/>
        </w:trPr>
        <w:tc>
          <w:tcPr>
            <w:tcW w:w="5882" w:type="dxa"/>
          </w:tcPr>
          <w:p w:rsidR="00A74284" w:rsidRPr="004D0E8D" w:rsidRDefault="00A74284" w:rsidP="00B216C5">
            <w:pPr>
              <w:keepNext/>
              <w:rPr>
                <w:rFonts w:ascii="Tahoma" w:hAnsi="Tahoma" w:cs="Tahoma"/>
                <w:i/>
                <w:sz w:val="16"/>
              </w:rPr>
            </w:pPr>
            <w:r w:rsidRPr="00C14D70">
              <w:rPr>
                <w:rFonts w:ascii="Tahoma" w:hAnsi="Tahoma" w:cs="Tahoma"/>
                <w:i/>
                <w:sz w:val="16"/>
              </w:rPr>
              <w:t xml:space="preserve">naš znak: </w:t>
            </w:r>
            <w:r w:rsidRPr="00124E42">
              <w:rPr>
                <w:rFonts w:ascii="Tahoma" w:hAnsi="Tahoma" w:cs="Tahoma"/>
                <w:i/>
                <w:sz w:val="16"/>
              </w:rPr>
              <w:t>4001-JPE-SV-</w:t>
            </w:r>
            <w:r>
              <w:rPr>
                <w:rFonts w:ascii="Tahoma" w:hAnsi="Tahoma" w:cs="Tahoma"/>
                <w:i/>
                <w:sz w:val="16"/>
              </w:rPr>
              <w:t>92</w:t>
            </w:r>
            <w:r w:rsidRPr="00124E42">
              <w:rPr>
                <w:rFonts w:ascii="Tahoma" w:hAnsi="Tahoma" w:cs="Tahoma"/>
                <w:i/>
                <w:sz w:val="16"/>
              </w:rPr>
              <w:t>/14</w:t>
            </w:r>
          </w:p>
          <w:p w:rsidR="00A74284" w:rsidRPr="00C14D70" w:rsidRDefault="00A74284" w:rsidP="00B216C5">
            <w:pPr>
              <w:pStyle w:val="Glava"/>
              <w:keepNext/>
              <w:tabs>
                <w:tab w:val="clear" w:pos="4536"/>
                <w:tab w:val="clear" w:pos="9072"/>
              </w:tabs>
              <w:rPr>
                <w:rFonts w:ascii="Tahoma" w:hAnsi="Tahoma" w:cs="Tahoma"/>
              </w:rPr>
            </w:pPr>
          </w:p>
          <w:p w:rsidR="00A74284" w:rsidRPr="00C14D70" w:rsidRDefault="00A74284" w:rsidP="00B216C5">
            <w:pPr>
              <w:keepNext/>
              <w:rPr>
                <w:rFonts w:ascii="Tahoma" w:hAnsi="Tahoma" w:cs="Tahoma"/>
                <w:i/>
                <w:sz w:val="16"/>
              </w:rPr>
            </w:pPr>
            <w:r w:rsidRPr="00C14D70">
              <w:rPr>
                <w:rFonts w:ascii="Tahoma" w:hAnsi="Tahoma" w:cs="Tahoma"/>
                <w:i/>
                <w:sz w:val="16"/>
              </w:rPr>
              <w:t>vaš znak:</w:t>
            </w:r>
          </w:p>
        </w:tc>
        <w:tc>
          <w:tcPr>
            <w:tcW w:w="3330" w:type="dxa"/>
          </w:tcPr>
          <w:p w:rsidR="00A74284" w:rsidRPr="00C14D70" w:rsidRDefault="00A74284" w:rsidP="00B216C5">
            <w:pPr>
              <w:keepNext/>
              <w:rPr>
                <w:rFonts w:ascii="Tahoma" w:hAnsi="Tahoma" w:cs="Tahoma"/>
                <w:i/>
                <w:sz w:val="16"/>
              </w:rPr>
            </w:pPr>
            <w:r w:rsidRPr="00C14D70">
              <w:rPr>
                <w:rFonts w:ascii="Tahoma" w:hAnsi="Tahoma" w:cs="Tahoma"/>
                <w:i/>
                <w:sz w:val="16"/>
              </w:rPr>
              <w:t xml:space="preserve">datum: </w:t>
            </w:r>
            <w:r>
              <w:rPr>
                <w:rFonts w:ascii="Tahoma" w:hAnsi="Tahoma" w:cs="Tahoma"/>
                <w:i/>
                <w:sz w:val="16"/>
              </w:rPr>
              <w:t>29.05.2014</w:t>
            </w:r>
          </w:p>
        </w:tc>
      </w:tr>
    </w:tbl>
    <w:p w:rsidR="00A74284" w:rsidRDefault="00A74284" w:rsidP="00A74284">
      <w:pPr>
        <w:keepNext/>
      </w:pPr>
    </w:p>
    <w:p w:rsidR="00A74284" w:rsidRDefault="00A74284" w:rsidP="00A74284">
      <w:pPr>
        <w:keepNext/>
      </w:pPr>
    </w:p>
    <w:p w:rsidR="00A74284" w:rsidRDefault="00A74284" w:rsidP="00A74284">
      <w:pPr>
        <w:keepNext/>
      </w:pPr>
    </w:p>
    <w:p w:rsidR="00A74284" w:rsidRDefault="00A74284" w:rsidP="00A74284">
      <w:pPr>
        <w:keepNext/>
      </w:pPr>
    </w:p>
    <w:p w:rsidR="00A74284" w:rsidRDefault="00A74284" w:rsidP="00A74284">
      <w:pPr>
        <w:keepNext/>
      </w:pPr>
    </w:p>
    <w:p w:rsidR="00A74284" w:rsidRDefault="00A74284" w:rsidP="00A74284">
      <w:pPr>
        <w:keepNext/>
        <w:rPr>
          <w:rFonts w:ascii="Tahoma" w:hAnsi="Tahoma" w:cs="Tahoma"/>
          <w:sz w:val="22"/>
          <w:szCs w:val="22"/>
        </w:rPr>
      </w:pPr>
      <w:r>
        <w:rPr>
          <w:rFonts w:ascii="Tahoma" w:hAnsi="Tahoma" w:cs="Tahoma"/>
          <w:sz w:val="22"/>
          <w:szCs w:val="22"/>
        </w:rPr>
        <w:t>ZADEVA: Odgovor na vprašanje</w:t>
      </w:r>
    </w:p>
    <w:p w:rsidR="00A74284" w:rsidRDefault="00A74284" w:rsidP="00A74284">
      <w:pPr>
        <w:keepNext/>
        <w:rPr>
          <w:rFonts w:ascii="Tahoma" w:hAnsi="Tahoma" w:cs="Tahoma"/>
          <w:sz w:val="22"/>
          <w:szCs w:val="22"/>
        </w:rPr>
      </w:pPr>
    </w:p>
    <w:p w:rsidR="00A74284" w:rsidRPr="00A74284" w:rsidRDefault="00A74284" w:rsidP="00A74284">
      <w:pPr>
        <w:keepNext/>
        <w:rPr>
          <w:rFonts w:ascii="Tahoma" w:hAnsi="Tahoma" w:cs="Tahoma"/>
          <w:sz w:val="22"/>
          <w:szCs w:val="22"/>
        </w:rPr>
      </w:pPr>
    </w:p>
    <w:p w:rsidR="00A74284" w:rsidRDefault="00A74284" w:rsidP="00A74284">
      <w:pPr>
        <w:keepNext/>
      </w:pPr>
    </w:p>
    <w:p w:rsidR="00A74284" w:rsidRDefault="00A74284" w:rsidP="00A74284">
      <w:pPr>
        <w:spacing w:before="100" w:beforeAutospacing="1" w:after="100" w:afterAutospacing="1"/>
        <w:jc w:val="both"/>
        <w:rPr>
          <w:rFonts w:ascii="Tahoma" w:hAnsi="Tahoma" w:cs="Tahoma"/>
          <w:sz w:val="22"/>
          <w:szCs w:val="22"/>
        </w:rPr>
      </w:pPr>
      <w:r>
        <w:rPr>
          <w:rFonts w:ascii="Tahoma" w:hAnsi="Tahoma" w:cs="Tahoma"/>
          <w:sz w:val="22"/>
          <w:szCs w:val="22"/>
        </w:rPr>
        <w:t xml:space="preserve">Po javnem razpisu št. JPE-SV-92/14 – </w:t>
      </w:r>
      <w:r>
        <w:rPr>
          <w:rFonts w:ascii="Tahoma" w:hAnsi="Tahoma"/>
          <w:sz w:val="22"/>
          <w:szCs w:val="22"/>
        </w:rPr>
        <w:t>S</w:t>
      </w:r>
      <w:r>
        <w:rPr>
          <w:rFonts w:ascii="Tahoma" w:hAnsi="Tahoma" w:cs="Tahoma"/>
          <w:sz w:val="22"/>
          <w:szCs w:val="22"/>
        </w:rPr>
        <w:t>anacija ekspanzijske posode v proizvodnem viru JAVNEGA PODJETJA ENERGETIKA LJUBLJANA d.o.o., Verovškova ulica 62, Ljubljana,</w:t>
      </w:r>
      <w:r>
        <w:rPr>
          <w:rFonts w:ascii="Tahoma" w:hAnsi="Tahoma" w:cs="Tahoma"/>
          <w:bCs/>
          <w:sz w:val="22"/>
          <w:szCs w:val="22"/>
        </w:rPr>
        <w:t xml:space="preserve"> </w:t>
      </w:r>
      <w:r>
        <w:rPr>
          <w:rFonts w:ascii="Tahoma" w:hAnsi="Tahoma" w:cs="Tahoma"/>
          <w:sz w:val="22"/>
          <w:szCs w:val="22"/>
        </w:rPr>
        <w:t>smo prejeli naslednje vprašanje, na katero vam v nadaljevanju posredujemo odgovor</w:t>
      </w:r>
      <w:r w:rsidR="003D1BF4">
        <w:rPr>
          <w:rFonts w:ascii="Tahoma" w:hAnsi="Tahoma" w:cs="Tahoma"/>
          <w:sz w:val="22"/>
          <w:szCs w:val="22"/>
        </w:rPr>
        <w:t>.</w:t>
      </w:r>
      <w:bookmarkStart w:id="0" w:name="_GoBack"/>
      <w:bookmarkEnd w:id="0"/>
    </w:p>
    <w:p w:rsidR="00A74284" w:rsidRDefault="00A74284" w:rsidP="00A74284">
      <w:pPr>
        <w:spacing w:before="100" w:beforeAutospacing="1" w:after="100" w:afterAutospacing="1"/>
        <w:jc w:val="both"/>
        <w:rPr>
          <w:rFonts w:ascii="Tahoma" w:hAnsi="Tahoma" w:cs="Tahoma"/>
          <w:sz w:val="22"/>
          <w:szCs w:val="22"/>
        </w:rPr>
      </w:pPr>
    </w:p>
    <w:p w:rsidR="00A74284" w:rsidRDefault="00A74284" w:rsidP="00A74284">
      <w:pPr>
        <w:spacing w:before="100" w:beforeAutospacing="1" w:after="100" w:afterAutospacing="1"/>
        <w:jc w:val="both"/>
        <w:rPr>
          <w:rFonts w:ascii="Tahoma" w:hAnsi="Tahoma" w:cs="Tahoma"/>
          <w:sz w:val="22"/>
          <w:szCs w:val="22"/>
        </w:rPr>
      </w:pPr>
      <w:r>
        <w:rPr>
          <w:rFonts w:ascii="Tahoma" w:hAnsi="Tahoma" w:cs="Tahoma"/>
          <w:sz w:val="22"/>
          <w:szCs w:val="22"/>
        </w:rPr>
        <w:t>VPRAŠANJE:</w:t>
      </w:r>
    </w:p>
    <w:p w:rsidR="00A74284" w:rsidRPr="00A74284" w:rsidRDefault="00A74284" w:rsidP="00A74284">
      <w:pPr>
        <w:rPr>
          <w:rFonts w:ascii="Tahoma" w:hAnsi="Tahoma" w:cs="Tahoma"/>
          <w:sz w:val="22"/>
          <w:szCs w:val="22"/>
        </w:rPr>
      </w:pPr>
      <w:r>
        <w:rPr>
          <w:rFonts w:ascii="Tahoma" w:hAnsi="Tahoma" w:cs="Tahoma"/>
          <w:sz w:val="22"/>
          <w:szCs w:val="22"/>
        </w:rPr>
        <w:t>»</w:t>
      </w:r>
      <w:r w:rsidRPr="00A74284">
        <w:rPr>
          <w:rFonts w:ascii="Tahoma" w:hAnsi="Tahoma" w:cs="Tahoma"/>
          <w:sz w:val="22"/>
          <w:szCs w:val="22"/>
        </w:rPr>
        <w:t xml:space="preserve">V tehnologiji sanacije ekspanzijske posode na objektu JP Energetika Ljubljana d.o.o., izdelane s strani Gradbeni inštitut ZRMK z dne 27.8.2013 je predviden nanos premazov v skupni debelini 330 mikr. Priloga so tudi tehnične informacije potencialnega dobavitelja materiala iz katerih izhaja, da je odgovarjajoči sistem zaščite 1x 125 mikr. </w:t>
      </w:r>
      <w:r w:rsidRPr="00A74284">
        <w:rPr>
          <w:rFonts w:ascii="Tahoma" w:hAnsi="Tahoma" w:cs="Tahoma"/>
          <w:sz w:val="22"/>
          <w:szCs w:val="22"/>
        </w:rPr>
        <w:br/>
        <w:t>Iz priloženega popisa del tč. 1.2.8. izhaja, da je potrebno nanesti dva do tri sloje ustreznega premaza po priporočilu proizvajalca.</w:t>
      </w:r>
      <w:r w:rsidRPr="00A74284">
        <w:rPr>
          <w:rFonts w:ascii="Tahoma" w:hAnsi="Tahoma" w:cs="Tahoma"/>
          <w:sz w:val="22"/>
          <w:szCs w:val="22"/>
        </w:rPr>
        <w:br/>
        <w:t>Pri dobavitelju materiala, katere tehnične informacije so priložene, smo preverili ali je dovolj nanos 125 mikr, glede na izpostavo, ter ugotovili, da je prišlo pri slovenskem prevodu do napake, pravilno je da je potrebno nanesti premaz v debelini min. 2x 125 mikr., kot izhaja iz originalnih tehničnih navodil v angleškem jeziku.</w:t>
      </w:r>
      <w:r w:rsidRPr="00A74284">
        <w:rPr>
          <w:rFonts w:ascii="Tahoma" w:hAnsi="Tahoma" w:cs="Tahoma"/>
          <w:sz w:val="22"/>
          <w:szCs w:val="22"/>
        </w:rPr>
        <w:br/>
        <w:t>Naročnika prosimo, da razpisno dokumentacijo dopolni tako, da se potrdi nanos premazov v skladu s tehnologiji sanacije izdelane s strani Gradbeni inštitut ZRMK z dne 27.8.2013, kjer je predviden nanos premazov s skupni DSF 330 mikr.«</w:t>
      </w:r>
    </w:p>
    <w:p w:rsidR="00A74284" w:rsidRDefault="00A74284" w:rsidP="00A74284">
      <w:pPr>
        <w:spacing w:before="100" w:beforeAutospacing="1" w:after="100" w:afterAutospacing="1"/>
        <w:jc w:val="both"/>
        <w:rPr>
          <w:rFonts w:ascii="Tahoma" w:hAnsi="Tahoma" w:cs="Tahoma"/>
          <w:sz w:val="22"/>
          <w:szCs w:val="22"/>
        </w:rPr>
      </w:pPr>
    </w:p>
    <w:p w:rsidR="00A74284" w:rsidRDefault="00A74284" w:rsidP="00A74284">
      <w:pPr>
        <w:spacing w:before="100" w:beforeAutospacing="1" w:after="100" w:afterAutospacing="1"/>
        <w:jc w:val="both"/>
        <w:rPr>
          <w:rFonts w:ascii="Tahoma" w:hAnsi="Tahoma" w:cs="Tahoma"/>
          <w:sz w:val="22"/>
          <w:szCs w:val="22"/>
        </w:rPr>
      </w:pPr>
    </w:p>
    <w:p w:rsidR="00A74284" w:rsidRDefault="00A74284" w:rsidP="00A74284">
      <w:pPr>
        <w:spacing w:before="100" w:beforeAutospacing="1" w:after="100" w:afterAutospacing="1"/>
        <w:jc w:val="both"/>
        <w:rPr>
          <w:rFonts w:ascii="Tahoma" w:hAnsi="Tahoma" w:cs="Tahoma"/>
          <w:sz w:val="22"/>
          <w:szCs w:val="22"/>
        </w:rPr>
      </w:pPr>
    </w:p>
    <w:p w:rsidR="00A74284" w:rsidRDefault="00A74284" w:rsidP="00A74284">
      <w:pPr>
        <w:spacing w:before="100" w:beforeAutospacing="1" w:after="100" w:afterAutospacing="1"/>
        <w:jc w:val="both"/>
        <w:rPr>
          <w:rFonts w:ascii="Tahoma" w:hAnsi="Tahoma" w:cs="Tahoma"/>
          <w:sz w:val="22"/>
          <w:szCs w:val="22"/>
        </w:rPr>
      </w:pPr>
      <w:r>
        <w:rPr>
          <w:rFonts w:ascii="Tahoma" w:hAnsi="Tahoma" w:cs="Tahoma"/>
          <w:sz w:val="22"/>
          <w:szCs w:val="22"/>
        </w:rPr>
        <w:t>ODGOVOR:</w:t>
      </w:r>
    </w:p>
    <w:p w:rsidR="00A74284" w:rsidRPr="00A74284" w:rsidRDefault="00A74284" w:rsidP="00A74284">
      <w:pPr>
        <w:pStyle w:val="Golobesedilo"/>
        <w:jc w:val="both"/>
        <w:rPr>
          <w:rFonts w:ascii="Tahoma" w:hAnsi="Tahoma" w:cs="Tahoma"/>
        </w:rPr>
      </w:pPr>
      <w:r w:rsidRPr="00A74284">
        <w:rPr>
          <w:rFonts w:ascii="Tahoma" w:hAnsi="Tahoma" w:cs="Tahoma"/>
        </w:rPr>
        <w:t>V prilogi razpisa so navedene tehnične informacije proizvajalca zaščitnih premazov. Te so informativnega značaja. Že sam proizvajalec oz. dobavitelj sistema premaza med tehničnimi informacijami navaja, da se je potrebno glede aplikacije premaza ter s tem v zvezi debeline premaza posvetovati z dobaviteljem.</w:t>
      </w:r>
    </w:p>
    <w:p w:rsidR="00A74284" w:rsidRPr="00A74284" w:rsidRDefault="00A74284" w:rsidP="00A74284">
      <w:pPr>
        <w:pStyle w:val="Golobesedilo"/>
        <w:jc w:val="both"/>
        <w:rPr>
          <w:rFonts w:ascii="Tahoma" w:hAnsi="Tahoma" w:cs="Tahoma"/>
        </w:rPr>
      </w:pPr>
      <w:r w:rsidRPr="00A74284">
        <w:rPr>
          <w:rFonts w:ascii="Tahoma" w:hAnsi="Tahoma" w:cs="Tahoma"/>
        </w:rPr>
        <w:t>V tehnologiji sanacije ekspanzijske posode, ki je tudi priloga razpisne dokumentacije, je eksaktno navedena skupna debelina AKZ. To je treba brezpogojno tudi upoštevati.</w:t>
      </w:r>
    </w:p>
    <w:p w:rsidR="00A74284" w:rsidRPr="00A74284" w:rsidRDefault="00A74284" w:rsidP="00A74284">
      <w:pPr>
        <w:spacing w:before="100" w:beforeAutospacing="1" w:after="100" w:afterAutospacing="1"/>
        <w:jc w:val="both"/>
        <w:rPr>
          <w:rFonts w:ascii="Tahoma" w:hAnsi="Tahoma" w:cs="Tahoma"/>
          <w:sz w:val="22"/>
          <w:szCs w:val="22"/>
        </w:rPr>
      </w:pPr>
    </w:p>
    <w:p w:rsidR="00A74284" w:rsidRPr="00A74284" w:rsidRDefault="00A74284" w:rsidP="00A74284">
      <w:pPr>
        <w:keepNext/>
        <w:rPr>
          <w:rFonts w:ascii="Tahoma" w:hAnsi="Tahoma" w:cs="Tahoma"/>
        </w:rPr>
      </w:pPr>
    </w:p>
    <w:sectPr w:rsidR="00A74284" w:rsidRPr="00A74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84"/>
    <w:rsid w:val="003D1BF4"/>
    <w:rsid w:val="00A74284"/>
    <w:rsid w:val="00FF0A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4284"/>
    <w:pPr>
      <w:spacing w:after="0" w:line="240" w:lineRule="auto"/>
    </w:pPr>
    <w:rPr>
      <w:rFonts w:ascii="Times New Roman" w:eastAsia="Times New Roman" w:hAnsi="Times New Roman" w:cs="Times New Roman"/>
      <w:sz w:val="20"/>
      <w:szCs w:val="20"/>
      <w:lang w:eastAsia="sl-SI"/>
    </w:rPr>
  </w:style>
  <w:style w:type="paragraph" w:styleId="Naslov5">
    <w:name w:val="heading 5"/>
    <w:basedOn w:val="Navaden"/>
    <w:next w:val="Navaden"/>
    <w:link w:val="Naslov5Znak"/>
    <w:qFormat/>
    <w:rsid w:val="00A74284"/>
    <w:pPr>
      <w:keepNext/>
      <w:jc w:val="both"/>
      <w:outlineLvl w:val="4"/>
    </w:pPr>
    <w:rPr>
      <w:b/>
      <w:i/>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rsid w:val="00A74284"/>
    <w:rPr>
      <w:rFonts w:ascii="Times New Roman" w:eastAsia="Times New Roman" w:hAnsi="Times New Roman" w:cs="Times New Roman"/>
      <w:b/>
      <w:i/>
      <w:sz w:val="32"/>
      <w:szCs w:val="20"/>
      <w:lang w:eastAsia="sl-SI"/>
    </w:rPr>
  </w:style>
  <w:style w:type="paragraph" w:styleId="Glava">
    <w:name w:val="header"/>
    <w:aliases w:val=" Znak,Header-PR"/>
    <w:basedOn w:val="Navaden"/>
    <w:link w:val="GlavaZnak"/>
    <w:rsid w:val="00A74284"/>
    <w:pPr>
      <w:tabs>
        <w:tab w:val="center" w:pos="4536"/>
        <w:tab w:val="right" w:pos="9072"/>
      </w:tabs>
    </w:pPr>
  </w:style>
  <w:style w:type="character" w:customStyle="1" w:styleId="GlavaZnak">
    <w:name w:val="Glava Znak"/>
    <w:aliases w:val=" Znak Znak,Header-PR Znak"/>
    <w:basedOn w:val="Privzetapisavaodstavka"/>
    <w:link w:val="Glava"/>
    <w:rsid w:val="00A74284"/>
    <w:rPr>
      <w:rFonts w:ascii="Times New Roman" w:eastAsia="Times New Roman" w:hAnsi="Times New Roman" w:cs="Times New Roman"/>
      <w:sz w:val="20"/>
      <w:szCs w:val="20"/>
      <w:lang w:eastAsia="sl-SI"/>
    </w:rPr>
  </w:style>
  <w:style w:type="paragraph" w:styleId="Noga">
    <w:name w:val="footer"/>
    <w:aliases w:val="Act Footer"/>
    <w:basedOn w:val="Navaden"/>
    <w:link w:val="NogaZnak"/>
    <w:rsid w:val="00A74284"/>
    <w:pPr>
      <w:tabs>
        <w:tab w:val="center" w:pos="4536"/>
        <w:tab w:val="right" w:pos="9072"/>
      </w:tabs>
    </w:pPr>
  </w:style>
  <w:style w:type="character" w:customStyle="1" w:styleId="NogaZnak">
    <w:name w:val="Noga Znak"/>
    <w:aliases w:val="Act Footer Znak"/>
    <w:basedOn w:val="Privzetapisavaodstavka"/>
    <w:link w:val="Noga"/>
    <w:rsid w:val="00A74284"/>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A742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4284"/>
    <w:rPr>
      <w:rFonts w:ascii="Tahoma" w:eastAsia="Times New Roman" w:hAnsi="Tahoma" w:cs="Tahoma"/>
      <w:sz w:val="16"/>
      <w:szCs w:val="16"/>
      <w:lang w:eastAsia="sl-SI"/>
    </w:rPr>
  </w:style>
  <w:style w:type="paragraph" w:styleId="Golobesedilo">
    <w:name w:val="Plain Text"/>
    <w:basedOn w:val="Navaden"/>
    <w:link w:val="GolobesediloZnak"/>
    <w:uiPriority w:val="99"/>
    <w:semiHidden/>
    <w:unhideWhenUsed/>
    <w:rsid w:val="00A74284"/>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A7428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4284"/>
    <w:pPr>
      <w:spacing w:after="0" w:line="240" w:lineRule="auto"/>
    </w:pPr>
    <w:rPr>
      <w:rFonts w:ascii="Times New Roman" w:eastAsia="Times New Roman" w:hAnsi="Times New Roman" w:cs="Times New Roman"/>
      <w:sz w:val="20"/>
      <w:szCs w:val="20"/>
      <w:lang w:eastAsia="sl-SI"/>
    </w:rPr>
  </w:style>
  <w:style w:type="paragraph" w:styleId="Naslov5">
    <w:name w:val="heading 5"/>
    <w:basedOn w:val="Navaden"/>
    <w:next w:val="Navaden"/>
    <w:link w:val="Naslov5Znak"/>
    <w:qFormat/>
    <w:rsid w:val="00A74284"/>
    <w:pPr>
      <w:keepNext/>
      <w:jc w:val="both"/>
      <w:outlineLvl w:val="4"/>
    </w:pPr>
    <w:rPr>
      <w:b/>
      <w:i/>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rsid w:val="00A74284"/>
    <w:rPr>
      <w:rFonts w:ascii="Times New Roman" w:eastAsia="Times New Roman" w:hAnsi="Times New Roman" w:cs="Times New Roman"/>
      <w:b/>
      <w:i/>
      <w:sz w:val="32"/>
      <w:szCs w:val="20"/>
      <w:lang w:eastAsia="sl-SI"/>
    </w:rPr>
  </w:style>
  <w:style w:type="paragraph" w:styleId="Glava">
    <w:name w:val="header"/>
    <w:aliases w:val=" Znak,Header-PR"/>
    <w:basedOn w:val="Navaden"/>
    <w:link w:val="GlavaZnak"/>
    <w:rsid w:val="00A74284"/>
    <w:pPr>
      <w:tabs>
        <w:tab w:val="center" w:pos="4536"/>
        <w:tab w:val="right" w:pos="9072"/>
      </w:tabs>
    </w:pPr>
  </w:style>
  <w:style w:type="character" w:customStyle="1" w:styleId="GlavaZnak">
    <w:name w:val="Glava Znak"/>
    <w:aliases w:val=" Znak Znak,Header-PR Znak"/>
    <w:basedOn w:val="Privzetapisavaodstavka"/>
    <w:link w:val="Glava"/>
    <w:rsid w:val="00A74284"/>
    <w:rPr>
      <w:rFonts w:ascii="Times New Roman" w:eastAsia="Times New Roman" w:hAnsi="Times New Roman" w:cs="Times New Roman"/>
      <w:sz w:val="20"/>
      <w:szCs w:val="20"/>
      <w:lang w:eastAsia="sl-SI"/>
    </w:rPr>
  </w:style>
  <w:style w:type="paragraph" w:styleId="Noga">
    <w:name w:val="footer"/>
    <w:aliases w:val="Act Footer"/>
    <w:basedOn w:val="Navaden"/>
    <w:link w:val="NogaZnak"/>
    <w:rsid w:val="00A74284"/>
    <w:pPr>
      <w:tabs>
        <w:tab w:val="center" w:pos="4536"/>
        <w:tab w:val="right" w:pos="9072"/>
      </w:tabs>
    </w:pPr>
  </w:style>
  <w:style w:type="character" w:customStyle="1" w:styleId="NogaZnak">
    <w:name w:val="Noga Znak"/>
    <w:aliases w:val="Act Footer Znak"/>
    <w:basedOn w:val="Privzetapisavaodstavka"/>
    <w:link w:val="Noga"/>
    <w:rsid w:val="00A74284"/>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A742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4284"/>
    <w:rPr>
      <w:rFonts w:ascii="Tahoma" w:eastAsia="Times New Roman" w:hAnsi="Tahoma" w:cs="Tahoma"/>
      <w:sz w:val="16"/>
      <w:szCs w:val="16"/>
      <w:lang w:eastAsia="sl-SI"/>
    </w:rPr>
  </w:style>
  <w:style w:type="paragraph" w:styleId="Golobesedilo">
    <w:name w:val="Plain Text"/>
    <w:basedOn w:val="Navaden"/>
    <w:link w:val="GolobesediloZnak"/>
    <w:uiPriority w:val="99"/>
    <w:semiHidden/>
    <w:unhideWhenUsed/>
    <w:rsid w:val="00A74284"/>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A742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1609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2014-05-29T11:19:00Z</dcterms:created>
  <dcterms:modified xsi:type="dcterms:W3CDTF">2014-05-29T11:33:00Z</dcterms:modified>
</cp:coreProperties>
</file>